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596C" w:rsidRDefault="0038596C" w:rsidP="0038596C">
      <w:pPr>
        <w:rPr>
          <w:rFonts w:ascii="Calibri" w:hAnsi="Calibri"/>
          <w:color w:val="808080" w:themeColor="background1" w:themeShade="80"/>
          <w:sz w:val="70"/>
          <w:szCs w:val="70"/>
          <w:lang w:val="en"/>
        </w:rPr>
      </w:pPr>
    </w:p>
    <w:p w:rsidR="0038596C" w:rsidRDefault="0038596C" w:rsidP="0038596C">
      <w:pPr>
        <w:rPr>
          <w:rFonts w:ascii="Calibri" w:hAnsi="Calibri"/>
          <w:color w:val="808080" w:themeColor="background1" w:themeShade="80"/>
          <w:sz w:val="70"/>
          <w:szCs w:val="70"/>
          <w:lang w:val="en"/>
        </w:rPr>
      </w:pPr>
    </w:p>
    <w:p w:rsidR="0038596C" w:rsidRDefault="0038596C" w:rsidP="0038596C">
      <w:pPr>
        <w:rPr>
          <w:rFonts w:ascii="Calibri" w:hAnsi="Calibri"/>
          <w:color w:val="808080" w:themeColor="background1" w:themeShade="80"/>
          <w:sz w:val="70"/>
          <w:szCs w:val="70"/>
          <w:lang w:val="en"/>
        </w:rPr>
      </w:pPr>
    </w:p>
    <w:p w:rsidR="0038596C" w:rsidRDefault="0038596C" w:rsidP="0038596C">
      <w:pPr>
        <w:rPr>
          <w:rFonts w:ascii="Calibri" w:hAnsi="Calibri"/>
          <w:color w:val="808080" w:themeColor="background1" w:themeShade="80"/>
          <w:sz w:val="70"/>
          <w:szCs w:val="70"/>
          <w:lang w:val="en"/>
        </w:rPr>
      </w:pPr>
    </w:p>
    <w:p w:rsidR="0038596C" w:rsidRPr="0038596C" w:rsidRDefault="0038596C" w:rsidP="0038596C">
      <w:pPr>
        <w:rPr>
          <w:rFonts w:ascii="Calibri" w:hAnsi="Calibri"/>
          <w:sz w:val="70"/>
          <w:szCs w:val="70"/>
          <w:lang w:val="en"/>
        </w:rPr>
      </w:pPr>
      <w:r w:rsidRPr="00D33726">
        <w:rPr>
          <w:rFonts w:ascii="Calibri" w:hAnsi="Calibri"/>
          <w:color w:val="1C355E"/>
          <w:sz w:val="70"/>
          <w:szCs w:val="70"/>
          <w:lang w:val="en"/>
        </w:rPr>
        <w:t>The National Data Opt</w:t>
      </w:r>
      <w:r w:rsidR="00F662F5">
        <w:rPr>
          <w:rFonts w:ascii="Calibri" w:hAnsi="Calibri"/>
          <w:color w:val="1C355E"/>
          <w:sz w:val="70"/>
          <w:szCs w:val="70"/>
          <w:lang w:val="en"/>
        </w:rPr>
        <w:t>-</w:t>
      </w:r>
      <w:r w:rsidRPr="00D33726">
        <w:rPr>
          <w:rFonts w:ascii="Calibri" w:hAnsi="Calibri"/>
          <w:color w:val="1C355E"/>
          <w:sz w:val="70"/>
          <w:szCs w:val="70"/>
          <w:lang w:val="en"/>
        </w:rPr>
        <w:t>Out</w:t>
      </w:r>
    </w:p>
    <w:p w:rsidR="0038596C" w:rsidRPr="0038596C" w:rsidRDefault="0038596C" w:rsidP="0038596C">
      <w:pPr>
        <w:rPr>
          <w:rFonts w:ascii="Calibri" w:hAnsi="Calibri"/>
          <w:lang w:val="en"/>
        </w:rPr>
      </w:pPr>
    </w:p>
    <w:p w:rsidR="0038596C" w:rsidRPr="0038596C" w:rsidRDefault="0038596C" w:rsidP="0038596C">
      <w:pPr>
        <w:rPr>
          <w:rFonts w:ascii="Calibri" w:hAnsi="Calibri"/>
          <w:sz w:val="50"/>
          <w:szCs w:val="50"/>
          <w:lang w:val="en"/>
        </w:rPr>
      </w:pPr>
      <w:r w:rsidRPr="00D33726">
        <w:rPr>
          <w:rFonts w:ascii="Calibri" w:hAnsi="Calibri"/>
          <w:color w:val="330072"/>
          <w:sz w:val="50"/>
          <w:szCs w:val="50"/>
          <w:lang w:val="en"/>
        </w:rPr>
        <w:t>Guidance for Practices</w:t>
      </w:r>
    </w:p>
    <w:p w:rsidR="0038596C" w:rsidRDefault="0038596C">
      <w:pPr>
        <w:rPr>
          <w:b/>
          <w:sz w:val="32"/>
          <w:szCs w:val="32"/>
        </w:rPr>
      </w:pPr>
    </w:p>
    <w:p w:rsidR="0038596C" w:rsidRDefault="00511132">
      <w:pPr>
        <w:rPr>
          <w:b/>
          <w:sz w:val="32"/>
          <w:szCs w:val="32"/>
        </w:rPr>
      </w:pPr>
      <w:r w:rsidRPr="00DC0D68">
        <w:t>V1.</w:t>
      </w:r>
      <w:r w:rsidR="001857A7">
        <w:t>3 January 2023</w:t>
      </w:r>
      <w:r w:rsidR="0038596C">
        <w:rPr>
          <w:b/>
          <w:sz w:val="32"/>
          <w:szCs w:val="32"/>
        </w:rPr>
        <w:br w:type="page"/>
      </w:r>
    </w:p>
    <w:p w:rsidR="0038596C" w:rsidRDefault="0038596C" w:rsidP="00F62DDE">
      <w:pPr>
        <w:tabs>
          <w:tab w:val="left" w:pos="1418"/>
        </w:tabs>
        <w:spacing w:after="0" w:line="240" w:lineRule="auto"/>
        <w:rPr>
          <w:b/>
          <w:sz w:val="32"/>
          <w:szCs w:val="32"/>
        </w:rPr>
      </w:pPr>
    </w:p>
    <w:sdt>
      <w:sdtPr>
        <w:rPr>
          <w:rFonts w:asciiTheme="minorHAnsi" w:eastAsiaTheme="minorHAnsi" w:hAnsiTheme="minorHAnsi" w:cstheme="minorBidi"/>
          <w:b w:val="0"/>
          <w:bCs w:val="0"/>
          <w:sz w:val="22"/>
          <w:szCs w:val="22"/>
          <w:lang w:val="en-GB" w:eastAsia="en-US"/>
        </w:rPr>
        <w:id w:val="771815344"/>
        <w:docPartObj>
          <w:docPartGallery w:val="Table of Contents"/>
          <w:docPartUnique/>
        </w:docPartObj>
      </w:sdtPr>
      <w:sdtEndPr>
        <w:rPr>
          <w:noProof/>
        </w:rPr>
      </w:sdtEndPr>
      <w:sdtContent>
        <w:p w:rsidR="0038596C" w:rsidRPr="00F22A18" w:rsidRDefault="0038596C" w:rsidP="00F7288C">
          <w:pPr>
            <w:pStyle w:val="TOCHeading"/>
            <w:numPr>
              <w:ilvl w:val="0"/>
              <w:numId w:val="0"/>
            </w:numPr>
            <w:spacing w:line="360" w:lineRule="auto"/>
            <w:ind w:left="567" w:hanging="567"/>
            <w:rPr>
              <w:color w:val="1960AB"/>
            </w:rPr>
          </w:pPr>
          <w:r w:rsidRPr="00D33726">
            <w:rPr>
              <w:color w:val="1C355E"/>
            </w:rPr>
            <w:t>Contents</w:t>
          </w:r>
        </w:p>
        <w:p w:rsidR="00FC7D0A" w:rsidRDefault="0038596C">
          <w:pPr>
            <w:pStyle w:val="TOC1"/>
            <w:tabs>
              <w:tab w:val="left" w:pos="440"/>
              <w:tab w:val="right" w:leader="dot" w:pos="9016"/>
            </w:tabs>
            <w:rPr>
              <w:rFonts w:eastAsiaTheme="minorEastAsia"/>
              <w:noProof/>
              <w:lang w:eastAsia="en-GB"/>
            </w:rPr>
          </w:pPr>
          <w:r w:rsidRPr="00F22A18">
            <w:rPr>
              <w:rFonts w:ascii="Calibri" w:hAnsi="Calibri" w:cs="Calibri"/>
              <w:sz w:val="24"/>
              <w:szCs w:val="24"/>
            </w:rPr>
            <w:fldChar w:fldCharType="begin"/>
          </w:r>
          <w:r w:rsidRPr="00F22A18">
            <w:rPr>
              <w:rFonts w:ascii="Calibri" w:hAnsi="Calibri" w:cs="Calibri"/>
              <w:sz w:val="24"/>
              <w:szCs w:val="24"/>
            </w:rPr>
            <w:instrText xml:space="preserve"> TOC \o "1-3" \h \z \u </w:instrText>
          </w:r>
          <w:r w:rsidRPr="00F22A18">
            <w:rPr>
              <w:rFonts w:ascii="Calibri" w:hAnsi="Calibri" w:cs="Calibri"/>
              <w:sz w:val="24"/>
              <w:szCs w:val="24"/>
            </w:rPr>
            <w:fldChar w:fldCharType="separate"/>
          </w:r>
          <w:hyperlink w:anchor="_Toc99613148" w:history="1">
            <w:r w:rsidR="00FC7D0A" w:rsidRPr="00A920EC">
              <w:rPr>
                <w:rStyle w:val="Hyperlink"/>
                <w:noProof/>
              </w:rPr>
              <w:t>1.</w:t>
            </w:r>
            <w:r w:rsidR="00FC7D0A">
              <w:rPr>
                <w:rFonts w:eastAsiaTheme="minorEastAsia"/>
                <w:noProof/>
                <w:lang w:eastAsia="en-GB"/>
              </w:rPr>
              <w:tab/>
            </w:r>
            <w:r w:rsidR="00FC7D0A" w:rsidRPr="00A920EC">
              <w:rPr>
                <w:rStyle w:val="Hyperlink"/>
                <w:noProof/>
              </w:rPr>
              <w:t>Background</w:t>
            </w:r>
            <w:r w:rsidR="00FC7D0A">
              <w:rPr>
                <w:noProof/>
                <w:webHidden/>
              </w:rPr>
              <w:tab/>
            </w:r>
            <w:r w:rsidR="00FC7D0A">
              <w:rPr>
                <w:noProof/>
                <w:webHidden/>
              </w:rPr>
              <w:fldChar w:fldCharType="begin"/>
            </w:r>
            <w:r w:rsidR="00FC7D0A">
              <w:rPr>
                <w:noProof/>
                <w:webHidden/>
              </w:rPr>
              <w:instrText xml:space="preserve"> PAGEREF _Toc99613148 \h </w:instrText>
            </w:r>
            <w:r w:rsidR="00FC7D0A">
              <w:rPr>
                <w:noProof/>
                <w:webHidden/>
              </w:rPr>
            </w:r>
            <w:r w:rsidR="00FC7D0A">
              <w:rPr>
                <w:noProof/>
                <w:webHidden/>
              </w:rPr>
              <w:fldChar w:fldCharType="separate"/>
            </w:r>
            <w:r w:rsidR="00FC7D0A">
              <w:rPr>
                <w:noProof/>
                <w:webHidden/>
              </w:rPr>
              <w:t>3</w:t>
            </w:r>
            <w:r w:rsidR="00FC7D0A">
              <w:rPr>
                <w:noProof/>
                <w:webHidden/>
              </w:rPr>
              <w:fldChar w:fldCharType="end"/>
            </w:r>
          </w:hyperlink>
        </w:p>
        <w:p w:rsidR="00FC7D0A" w:rsidRDefault="00FC7D0A">
          <w:pPr>
            <w:pStyle w:val="TOC1"/>
            <w:tabs>
              <w:tab w:val="left" w:pos="440"/>
              <w:tab w:val="right" w:leader="dot" w:pos="9016"/>
            </w:tabs>
            <w:rPr>
              <w:rFonts w:eastAsiaTheme="minorEastAsia"/>
              <w:noProof/>
              <w:lang w:eastAsia="en-GB"/>
            </w:rPr>
          </w:pPr>
          <w:hyperlink w:anchor="_Toc99613149" w:history="1">
            <w:r w:rsidRPr="00A920EC">
              <w:rPr>
                <w:rStyle w:val="Hyperlink"/>
                <w:noProof/>
              </w:rPr>
              <w:t>2.</w:t>
            </w:r>
            <w:r>
              <w:rPr>
                <w:rFonts w:eastAsiaTheme="minorEastAsia"/>
                <w:noProof/>
                <w:lang w:eastAsia="en-GB"/>
              </w:rPr>
              <w:tab/>
            </w:r>
            <w:r w:rsidRPr="00A920EC">
              <w:rPr>
                <w:rStyle w:val="Hyperlink"/>
                <w:noProof/>
              </w:rPr>
              <w:t>What has changed</w:t>
            </w:r>
            <w:r>
              <w:rPr>
                <w:noProof/>
                <w:webHidden/>
              </w:rPr>
              <w:tab/>
            </w:r>
            <w:r>
              <w:rPr>
                <w:noProof/>
                <w:webHidden/>
              </w:rPr>
              <w:fldChar w:fldCharType="begin"/>
            </w:r>
            <w:r>
              <w:rPr>
                <w:noProof/>
                <w:webHidden/>
              </w:rPr>
              <w:instrText xml:space="preserve"> PAGEREF _Toc99613149 \h </w:instrText>
            </w:r>
            <w:r>
              <w:rPr>
                <w:noProof/>
                <w:webHidden/>
              </w:rPr>
            </w:r>
            <w:r>
              <w:rPr>
                <w:noProof/>
                <w:webHidden/>
              </w:rPr>
              <w:fldChar w:fldCharType="separate"/>
            </w:r>
            <w:r>
              <w:rPr>
                <w:noProof/>
                <w:webHidden/>
              </w:rPr>
              <w:t>3</w:t>
            </w:r>
            <w:r>
              <w:rPr>
                <w:noProof/>
                <w:webHidden/>
              </w:rPr>
              <w:fldChar w:fldCharType="end"/>
            </w:r>
          </w:hyperlink>
        </w:p>
        <w:p w:rsidR="00FC7D0A" w:rsidRDefault="00FC7D0A">
          <w:pPr>
            <w:pStyle w:val="TOC1"/>
            <w:tabs>
              <w:tab w:val="left" w:pos="440"/>
              <w:tab w:val="right" w:leader="dot" w:pos="9016"/>
            </w:tabs>
            <w:rPr>
              <w:rFonts w:eastAsiaTheme="minorEastAsia"/>
              <w:noProof/>
              <w:lang w:eastAsia="en-GB"/>
            </w:rPr>
          </w:pPr>
          <w:hyperlink w:anchor="_Toc99613150" w:history="1">
            <w:r w:rsidRPr="00A920EC">
              <w:rPr>
                <w:rStyle w:val="Hyperlink"/>
                <w:noProof/>
              </w:rPr>
              <w:t>3.</w:t>
            </w:r>
            <w:r>
              <w:rPr>
                <w:rFonts w:eastAsiaTheme="minorEastAsia"/>
                <w:noProof/>
                <w:lang w:eastAsia="en-GB"/>
              </w:rPr>
              <w:tab/>
            </w:r>
            <w:r w:rsidRPr="00A920EC">
              <w:rPr>
                <w:rStyle w:val="Hyperlink"/>
                <w:noProof/>
              </w:rPr>
              <w:t>How can patients Opt Out and what does it mean?</w:t>
            </w:r>
            <w:r>
              <w:rPr>
                <w:noProof/>
                <w:webHidden/>
              </w:rPr>
              <w:tab/>
            </w:r>
            <w:r>
              <w:rPr>
                <w:noProof/>
                <w:webHidden/>
              </w:rPr>
              <w:fldChar w:fldCharType="begin"/>
            </w:r>
            <w:r>
              <w:rPr>
                <w:noProof/>
                <w:webHidden/>
              </w:rPr>
              <w:instrText xml:space="preserve"> PAGEREF _Toc99613150 \h </w:instrText>
            </w:r>
            <w:r>
              <w:rPr>
                <w:noProof/>
                <w:webHidden/>
              </w:rPr>
            </w:r>
            <w:r>
              <w:rPr>
                <w:noProof/>
                <w:webHidden/>
              </w:rPr>
              <w:fldChar w:fldCharType="separate"/>
            </w:r>
            <w:r>
              <w:rPr>
                <w:noProof/>
                <w:webHidden/>
              </w:rPr>
              <w:t>4</w:t>
            </w:r>
            <w:r>
              <w:rPr>
                <w:noProof/>
                <w:webHidden/>
              </w:rPr>
              <w:fldChar w:fldCharType="end"/>
            </w:r>
          </w:hyperlink>
        </w:p>
        <w:p w:rsidR="00FC7D0A" w:rsidRDefault="00FC7D0A">
          <w:pPr>
            <w:pStyle w:val="TOC1"/>
            <w:tabs>
              <w:tab w:val="left" w:pos="440"/>
              <w:tab w:val="right" w:leader="dot" w:pos="9016"/>
            </w:tabs>
            <w:rPr>
              <w:rFonts w:eastAsiaTheme="minorEastAsia"/>
              <w:noProof/>
              <w:lang w:eastAsia="en-GB"/>
            </w:rPr>
          </w:pPr>
          <w:hyperlink w:anchor="_Toc99613151" w:history="1">
            <w:r w:rsidRPr="00A920EC">
              <w:rPr>
                <w:rStyle w:val="Hyperlink"/>
                <w:noProof/>
              </w:rPr>
              <w:t>4.</w:t>
            </w:r>
            <w:r>
              <w:rPr>
                <w:rFonts w:eastAsiaTheme="minorEastAsia"/>
                <w:noProof/>
                <w:lang w:eastAsia="en-GB"/>
              </w:rPr>
              <w:tab/>
            </w:r>
            <w:r w:rsidRPr="00A920EC">
              <w:rPr>
                <w:rStyle w:val="Hyperlink"/>
                <w:noProof/>
              </w:rPr>
              <w:t>Exemptions to Opt Out</w:t>
            </w:r>
            <w:r>
              <w:rPr>
                <w:noProof/>
                <w:webHidden/>
              </w:rPr>
              <w:tab/>
            </w:r>
            <w:r>
              <w:rPr>
                <w:noProof/>
                <w:webHidden/>
              </w:rPr>
              <w:fldChar w:fldCharType="begin"/>
            </w:r>
            <w:r>
              <w:rPr>
                <w:noProof/>
                <w:webHidden/>
              </w:rPr>
              <w:instrText xml:space="preserve"> PAGEREF _Toc99613151 \h </w:instrText>
            </w:r>
            <w:r>
              <w:rPr>
                <w:noProof/>
                <w:webHidden/>
              </w:rPr>
            </w:r>
            <w:r>
              <w:rPr>
                <w:noProof/>
                <w:webHidden/>
              </w:rPr>
              <w:fldChar w:fldCharType="separate"/>
            </w:r>
            <w:r>
              <w:rPr>
                <w:noProof/>
                <w:webHidden/>
              </w:rPr>
              <w:t>5</w:t>
            </w:r>
            <w:r>
              <w:rPr>
                <w:noProof/>
                <w:webHidden/>
              </w:rPr>
              <w:fldChar w:fldCharType="end"/>
            </w:r>
          </w:hyperlink>
        </w:p>
        <w:p w:rsidR="00FC7D0A" w:rsidRDefault="00FC7D0A">
          <w:pPr>
            <w:pStyle w:val="TOC1"/>
            <w:tabs>
              <w:tab w:val="left" w:pos="440"/>
              <w:tab w:val="right" w:leader="dot" w:pos="9016"/>
            </w:tabs>
            <w:rPr>
              <w:rFonts w:eastAsiaTheme="minorEastAsia"/>
              <w:noProof/>
              <w:lang w:eastAsia="en-GB"/>
            </w:rPr>
          </w:pPr>
          <w:hyperlink w:anchor="_Toc99613152" w:history="1">
            <w:r w:rsidRPr="00A920EC">
              <w:rPr>
                <w:rStyle w:val="Hyperlink"/>
                <w:noProof/>
              </w:rPr>
              <w:t>5.</w:t>
            </w:r>
            <w:r>
              <w:rPr>
                <w:rFonts w:eastAsiaTheme="minorEastAsia"/>
                <w:noProof/>
                <w:lang w:eastAsia="en-GB"/>
              </w:rPr>
              <w:tab/>
            </w:r>
            <w:r w:rsidRPr="00A920EC">
              <w:rPr>
                <w:rStyle w:val="Hyperlink"/>
                <w:noProof/>
              </w:rPr>
              <w:t>What an organisation should do</w:t>
            </w:r>
            <w:r>
              <w:rPr>
                <w:noProof/>
                <w:webHidden/>
              </w:rPr>
              <w:tab/>
            </w:r>
            <w:r>
              <w:rPr>
                <w:noProof/>
                <w:webHidden/>
              </w:rPr>
              <w:fldChar w:fldCharType="begin"/>
            </w:r>
            <w:r>
              <w:rPr>
                <w:noProof/>
                <w:webHidden/>
              </w:rPr>
              <w:instrText xml:space="preserve"> PAGEREF _Toc99613152 \h </w:instrText>
            </w:r>
            <w:r>
              <w:rPr>
                <w:noProof/>
                <w:webHidden/>
              </w:rPr>
            </w:r>
            <w:r>
              <w:rPr>
                <w:noProof/>
                <w:webHidden/>
              </w:rPr>
              <w:fldChar w:fldCharType="separate"/>
            </w:r>
            <w:r>
              <w:rPr>
                <w:noProof/>
                <w:webHidden/>
              </w:rPr>
              <w:t>6</w:t>
            </w:r>
            <w:r>
              <w:rPr>
                <w:noProof/>
                <w:webHidden/>
              </w:rPr>
              <w:fldChar w:fldCharType="end"/>
            </w:r>
          </w:hyperlink>
        </w:p>
        <w:p w:rsidR="00FC7D0A" w:rsidRDefault="00FC7D0A">
          <w:pPr>
            <w:pStyle w:val="TOC1"/>
            <w:tabs>
              <w:tab w:val="left" w:pos="440"/>
              <w:tab w:val="right" w:leader="dot" w:pos="9016"/>
            </w:tabs>
            <w:rPr>
              <w:rFonts w:eastAsiaTheme="minorEastAsia"/>
              <w:noProof/>
              <w:lang w:eastAsia="en-GB"/>
            </w:rPr>
          </w:pPr>
          <w:hyperlink w:anchor="_Toc99613153" w:history="1">
            <w:r w:rsidRPr="00A920EC">
              <w:rPr>
                <w:rStyle w:val="Hyperlink"/>
                <w:noProof/>
              </w:rPr>
              <w:t>6.</w:t>
            </w:r>
            <w:r>
              <w:rPr>
                <w:rFonts w:eastAsiaTheme="minorEastAsia"/>
                <w:noProof/>
                <w:lang w:eastAsia="en-GB"/>
              </w:rPr>
              <w:tab/>
            </w:r>
            <w:r w:rsidRPr="00A920EC">
              <w:rPr>
                <w:rStyle w:val="Hyperlink"/>
                <w:noProof/>
              </w:rPr>
              <w:t>Practices need to comply with</w:t>
            </w:r>
            <w:r>
              <w:rPr>
                <w:noProof/>
                <w:webHidden/>
              </w:rPr>
              <w:tab/>
            </w:r>
            <w:r>
              <w:rPr>
                <w:noProof/>
                <w:webHidden/>
              </w:rPr>
              <w:fldChar w:fldCharType="begin"/>
            </w:r>
            <w:r>
              <w:rPr>
                <w:noProof/>
                <w:webHidden/>
              </w:rPr>
              <w:instrText xml:space="preserve"> PAGEREF _Toc99613153 \h </w:instrText>
            </w:r>
            <w:r>
              <w:rPr>
                <w:noProof/>
                <w:webHidden/>
              </w:rPr>
            </w:r>
            <w:r>
              <w:rPr>
                <w:noProof/>
                <w:webHidden/>
              </w:rPr>
              <w:fldChar w:fldCharType="separate"/>
            </w:r>
            <w:r>
              <w:rPr>
                <w:noProof/>
                <w:webHidden/>
              </w:rPr>
              <w:t>6</w:t>
            </w:r>
            <w:r>
              <w:rPr>
                <w:noProof/>
                <w:webHidden/>
              </w:rPr>
              <w:fldChar w:fldCharType="end"/>
            </w:r>
          </w:hyperlink>
        </w:p>
        <w:p w:rsidR="00FC7D0A" w:rsidRDefault="00FC7D0A">
          <w:pPr>
            <w:pStyle w:val="TOC1"/>
            <w:tabs>
              <w:tab w:val="left" w:pos="440"/>
              <w:tab w:val="right" w:leader="dot" w:pos="9016"/>
            </w:tabs>
            <w:rPr>
              <w:rFonts w:eastAsiaTheme="minorEastAsia"/>
              <w:noProof/>
              <w:lang w:eastAsia="en-GB"/>
            </w:rPr>
          </w:pPr>
          <w:hyperlink w:anchor="_Toc99613154" w:history="1">
            <w:r w:rsidRPr="00A920EC">
              <w:rPr>
                <w:rStyle w:val="Hyperlink"/>
                <w:noProof/>
              </w:rPr>
              <w:t>7.</w:t>
            </w:r>
            <w:r>
              <w:rPr>
                <w:rFonts w:eastAsiaTheme="minorEastAsia"/>
                <w:noProof/>
                <w:lang w:eastAsia="en-GB"/>
              </w:rPr>
              <w:tab/>
            </w:r>
            <w:r w:rsidRPr="00A920EC">
              <w:rPr>
                <w:rStyle w:val="Hyperlink"/>
                <w:noProof/>
              </w:rPr>
              <w:t>Further help and Support</w:t>
            </w:r>
            <w:r>
              <w:rPr>
                <w:noProof/>
                <w:webHidden/>
              </w:rPr>
              <w:tab/>
            </w:r>
            <w:r>
              <w:rPr>
                <w:noProof/>
                <w:webHidden/>
              </w:rPr>
              <w:fldChar w:fldCharType="begin"/>
            </w:r>
            <w:r>
              <w:rPr>
                <w:noProof/>
                <w:webHidden/>
              </w:rPr>
              <w:instrText xml:space="preserve"> PAGEREF _Toc99613154 \h </w:instrText>
            </w:r>
            <w:r>
              <w:rPr>
                <w:noProof/>
                <w:webHidden/>
              </w:rPr>
            </w:r>
            <w:r>
              <w:rPr>
                <w:noProof/>
                <w:webHidden/>
              </w:rPr>
              <w:fldChar w:fldCharType="separate"/>
            </w:r>
            <w:r>
              <w:rPr>
                <w:noProof/>
                <w:webHidden/>
              </w:rPr>
              <w:t>6</w:t>
            </w:r>
            <w:r>
              <w:rPr>
                <w:noProof/>
                <w:webHidden/>
              </w:rPr>
              <w:fldChar w:fldCharType="end"/>
            </w:r>
          </w:hyperlink>
        </w:p>
        <w:p w:rsidR="00FC7D0A" w:rsidRDefault="00FC7D0A">
          <w:pPr>
            <w:pStyle w:val="TOC1"/>
            <w:tabs>
              <w:tab w:val="left" w:pos="440"/>
              <w:tab w:val="right" w:leader="dot" w:pos="9016"/>
            </w:tabs>
            <w:rPr>
              <w:rFonts w:eastAsiaTheme="minorEastAsia"/>
              <w:noProof/>
              <w:lang w:eastAsia="en-GB"/>
            </w:rPr>
          </w:pPr>
          <w:hyperlink w:anchor="_Toc99613167" w:history="1">
            <w:r w:rsidRPr="00A920EC">
              <w:rPr>
                <w:rStyle w:val="Hyperlink"/>
                <w:noProof/>
              </w:rPr>
              <w:t>8.</w:t>
            </w:r>
            <w:r>
              <w:rPr>
                <w:rFonts w:eastAsiaTheme="minorEastAsia"/>
                <w:noProof/>
                <w:lang w:eastAsia="en-GB"/>
              </w:rPr>
              <w:tab/>
            </w:r>
            <w:r w:rsidRPr="00A920EC">
              <w:rPr>
                <w:rStyle w:val="Hyperlink"/>
                <w:noProof/>
              </w:rPr>
              <w:t>Points to note – GP Practice</w:t>
            </w:r>
            <w:r>
              <w:rPr>
                <w:noProof/>
                <w:webHidden/>
              </w:rPr>
              <w:tab/>
            </w:r>
            <w:r>
              <w:rPr>
                <w:noProof/>
                <w:webHidden/>
              </w:rPr>
              <w:fldChar w:fldCharType="begin"/>
            </w:r>
            <w:r>
              <w:rPr>
                <w:noProof/>
                <w:webHidden/>
              </w:rPr>
              <w:instrText xml:space="preserve"> PAGEREF _Toc99613167 \h </w:instrText>
            </w:r>
            <w:r>
              <w:rPr>
                <w:noProof/>
                <w:webHidden/>
              </w:rPr>
            </w:r>
            <w:r>
              <w:rPr>
                <w:noProof/>
                <w:webHidden/>
              </w:rPr>
              <w:fldChar w:fldCharType="separate"/>
            </w:r>
            <w:r>
              <w:rPr>
                <w:noProof/>
                <w:webHidden/>
              </w:rPr>
              <w:t>7</w:t>
            </w:r>
            <w:r>
              <w:rPr>
                <w:noProof/>
                <w:webHidden/>
              </w:rPr>
              <w:fldChar w:fldCharType="end"/>
            </w:r>
          </w:hyperlink>
        </w:p>
        <w:p w:rsidR="00FC7D0A" w:rsidRDefault="00FC7D0A">
          <w:pPr>
            <w:pStyle w:val="TOC1"/>
            <w:tabs>
              <w:tab w:val="left" w:pos="440"/>
              <w:tab w:val="right" w:leader="dot" w:pos="9016"/>
            </w:tabs>
            <w:rPr>
              <w:rFonts w:eastAsiaTheme="minorEastAsia"/>
              <w:noProof/>
              <w:lang w:eastAsia="en-GB"/>
            </w:rPr>
          </w:pPr>
          <w:hyperlink w:anchor="_Toc99613168" w:history="1">
            <w:r w:rsidRPr="00A920EC">
              <w:rPr>
                <w:rStyle w:val="Hyperlink"/>
                <w:noProof/>
              </w:rPr>
              <w:t>9.</w:t>
            </w:r>
            <w:r>
              <w:rPr>
                <w:rFonts w:eastAsiaTheme="minorEastAsia"/>
                <w:noProof/>
                <w:lang w:eastAsia="en-GB"/>
              </w:rPr>
              <w:tab/>
            </w:r>
            <w:r w:rsidRPr="00A920EC">
              <w:rPr>
                <w:rStyle w:val="Hyperlink"/>
                <w:noProof/>
              </w:rPr>
              <w:t>Useful resources</w:t>
            </w:r>
            <w:r>
              <w:rPr>
                <w:noProof/>
                <w:webHidden/>
              </w:rPr>
              <w:tab/>
            </w:r>
            <w:r>
              <w:rPr>
                <w:noProof/>
                <w:webHidden/>
              </w:rPr>
              <w:fldChar w:fldCharType="begin"/>
            </w:r>
            <w:r>
              <w:rPr>
                <w:noProof/>
                <w:webHidden/>
              </w:rPr>
              <w:instrText xml:space="preserve"> PAGEREF _Toc99613168 \h </w:instrText>
            </w:r>
            <w:r>
              <w:rPr>
                <w:noProof/>
                <w:webHidden/>
              </w:rPr>
            </w:r>
            <w:r>
              <w:rPr>
                <w:noProof/>
                <w:webHidden/>
              </w:rPr>
              <w:fldChar w:fldCharType="separate"/>
            </w:r>
            <w:r>
              <w:rPr>
                <w:noProof/>
                <w:webHidden/>
              </w:rPr>
              <w:t>9</w:t>
            </w:r>
            <w:r>
              <w:rPr>
                <w:noProof/>
                <w:webHidden/>
              </w:rPr>
              <w:fldChar w:fldCharType="end"/>
            </w:r>
          </w:hyperlink>
        </w:p>
        <w:p w:rsidR="00FC7D0A" w:rsidRDefault="00FC7D0A">
          <w:pPr>
            <w:pStyle w:val="TOC1"/>
            <w:tabs>
              <w:tab w:val="left" w:pos="660"/>
              <w:tab w:val="right" w:leader="dot" w:pos="9016"/>
            </w:tabs>
            <w:rPr>
              <w:rFonts w:eastAsiaTheme="minorEastAsia"/>
              <w:noProof/>
              <w:lang w:eastAsia="en-GB"/>
            </w:rPr>
          </w:pPr>
          <w:hyperlink w:anchor="_Toc99613169" w:history="1">
            <w:r w:rsidRPr="00A920EC">
              <w:rPr>
                <w:rStyle w:val="Hyperlink"/>
                <w:noProof/>
              </w:rPr>
              <w:t>10.</w:t>
            </w:r>
            <w:r>
              <w:rPr>
                <w:rFonts w:eastAsiaTheme="minorEastAsia"/>
                <w:noProof/>
                <w:lang w:eastAsia="en-GB"/>
              </w:rPr>
              <w:tab/>
            </w:r>
            <w:r w:rsidRPr="00A920EC">
              <w:rPr>
                <w:rStyle w:val="Hyperlink"/>
                <w:noProof/>
              </w:rPr>
              <w:t>Document Control</w:t>
            </w:r>
            <w:r>
              <w:rPr>
                <w:noProof/>
                <w:webHidden/>
              </w:rPr>
              <w:tab/>
            </w:r>
            <w:r>
              <w:rPr>
                <w:noProof/>
                <w:webHidden/>
              </w:rPr>
              <w:fldChar w:fldCharType="begin"/>
            </w:r>
            <w:r>
              <w:rPr>
                <w:noProof/>
                <w:webHidden/>
              </w:rPr>
              <w:instrText xml:space="preserve"> PAGEREF _Toc99613169 \h </w:instrText>
            </w:r>
            <w:r>
              <w:rPr>
                <w:noProof/>
                <w:webHidden/>
              </w:rPr>
            </w:r>
            <w:r>
              <w:rPr>
                <w:noProof/>
                <w:webHidden/>
              </w:rPr>
              <w:fldChar w:fldCharType="separate"/>
            </w:r>
            <w:r>
              <w:rPr>
                <w:noProof/>
                <w:webHidden/>
              </w:rPr>
              <w:t>10</w:t>
            </w:r>
            <w:r>
              <w:rPr>
                <w:noProof/>
                <w:webHidden/>
              </w:rPr>
              <w:fldChar w:fldCharType="end"/>
            </w:r>
          </w:hyperlink>
        </w:p>
        <w:p w:rsidR="0038596C" w:rsidRDefault="0038596C" w:rsidP="00F7288C">
          <w:pPr>
            <w:spacing w:line="360" w:lineRule="auto"/>
            <w:jc w:val="both"/>
          </w:pPr>
          <w:r w:rsidRPr="00F22A18">
            <w:rPr>
              <w:rFonts w:ascii="Calibri" w:hAnsi="Calibri" w:cs="Calibri"/>
              <w:b/>
              <w:bCs/>
              <w:noProof/>
              <w:sz w:val="24"/>
              <w:szCs w:val="24"/>
            </w:rPr>
            <w:fldChar w:fldCharType="end"/>
          </w:r>
        </w:p>
      </w:sdtContent>
    </w:sdt>
    <w:p w:rsidR="0038596C" w:rsidRDefault="0038596C">
      <w:pPr>
        <w:rPr>
          <w:b/>
          <w:sz w:val="32"/>
          <w:szCs w:val="32"/>
        </w:rPr>
      </w:pPr>
      <w:r>
        <w:rPr>
          <w:b/>
          <w:sz w:val="32"/>
          <w:szCs w:val="32"/>
        </w:rPr>
        <w:br w:type="page"/>
      </w:r>
    </w:p>
    <w:p w:rsidR="00460769" w:rsidRPr="00F46330" w:rsidRDefault="00460769" w:rsidP="00F46330">
      <w:pPr>
        <w:pStyle w:val="Heading1"/>
      </w:pPr>
      <w:bookmarkStart w:id="0" w:name="_Toc99613148"/>
      <w:r w:rsidRPr="00F46330">
        <w:t>Background</w:t>
      </w:r>
      <w:bookmarkEnd w:id="0"/>
    </w:p>
    <w:p w:rsidR="00DA5611" w:rsidRPr="00D436F3" w:rsidRDefault="00924A4E" w:rsidP="00F7288C">
      <w:pPr>
        <w:spacing w:after="0" w:line="240" w:lineRule="auto"/>
        <w:jc w:val="both"/>
        <w:rPr>
          <w:rFonts w:ascii="Calibri" w:hAnsi="Calibri" w:cs="Calibri"/>
          <w:sz w:val="24"/>
          <w:szCs w:val="24"/>
        </w:rPr>
      </w:pPr>
      <w:r w:rsidRPr="00D436F3">
        <w:rPr>
          <w:rFonts w:ascii="Calibri" w:hAnsi="Calibri" w:cs="Calibri"/>
          <w:sz w:val="24"/>
          <w:szCs w:val="24"/>
        </w:rPr>
        <w:t>Health and care organisation</w:t>
      </w:r>
      <w:r w:rsidR="00DA5611" w:rsidRPr="00D436F3">
        <w:rPr>
          <w:rFonts w:ascii="Calibri" w:hAnsi="Calibri" w:cs="Calibri"/>
          <w:sz w:val="24"/>
          <w:szCs w:val="24"/>
        </w:rPr>
        <w:t xml:space="preserve"> hold huge amounts of patient Information. This i</w:t>
      </w:r>
      <w:r w:rsidR="00BA7873" w:rsidRPr="00D436F3">
        <w:rPr>
          <w:rFonts w:ascii="Calibri" w:hAnsi="Calibri" w:cs="Calibri"/>
          <w:sz w:val="24"/>
          <w:szCs w:val="24"/>
        </w:rPr>
        <w:t>nformation is essential for</w:t>
      </w:r>
      <w:r w:rsidR="00BA1FC5">
        <w:rPr>
          <w:rFonts w:ascii="Calibri" w:hAnsi="Calibri" w:cs="Calibri"/>
          <w:sz w:val="24"/>
          <w:szCs w:val="24"/>
        </w:rPr>
        <w:t xml:space="preserve"> enabling</w:t>
      </w:r>
      <w:r w:rsidR="00BA7873" w:rsidRPr="00D436F3">
        <w:rPr>
          <w:rFonts w:ascii="Calibri" w:hAnsi="Calibri" w:cs="Calibri"/>
          <w:sz w:val="24"/>
          <w:szCs w:val="24"/>
        </w:rPr>
        <w:t xml:space="preserve"> high quality care and is beneficial for many other purposes.</w:t>
      </w:r>
      <w:r w:rsidR="00DA5611" w:rsidRPr="00D436F3">
        <w:rPr>
          <w:rFonts w:ascii="Calibri" w:hAnsi="Calibri" w:cs="Calibri"/>
          <w:sz w:val="24"/>
          <w:szCs w:val="24"/>
        </w:rPr>
        <w:t xml:space="preserve"> </w:t>
      </w:r>
    </w:p>
    <w:p w:rsidR="00F62DDE" w:rsidRPr="00D436F3" w:rsidRDefault="00F62DDE" w:rsidP="00F7288C">
      <w:pPr>
        <w:spacing w:after="0" w:line="240" w:lineRule="auto"/>
        <w:jc w:val="both"/>
        <w:rPr>
          <w:rFonts w:ascii="Calibri" w:hAnsi="Calibri" w:cs="Calibri"/>
          <w:sz w:val="24"/>
          <w:szCs w:val="24"/>
        </w:rPr>
      </w:pPr>
    </w:p>
    <w:p w:rsidR="00BA7873" w:rsidRPr="00D436F3" w:rsidRDefault="00DA5611" w:rsidP="00F7288C">
      <w:pPr>
        <w:spacing w:after="0" w:line="240" w:lineRule="auto"/>
        <w:jc w:val="both"/>
        <w:rPr>
          <w:rFonts w:ascii="Calibri" w:hAnsi="Calibri" w:cs="Calibri"/>
          <w:sz w:val="24"/>
          <w:szCs w:val="24"/>
        </w:rPr>
      </w:pPr>
      <w:r w:rsidRPr="00D436F3">
        <w:rPr>
          <w:rFonts w:ascii="Calibri" w:hAnsi="Calibri" w:cs="Calibri"/>
          <w:sz w:val="24"/>
          <w:szCs w:val="24"/>
        </w:rPr>
        <w:t xml:space="preserve">Patients have the right to opt-out of their personal confidential data being used for purposes beyond their </w:t>
      </w:r>
      <w:r w:rsidR="00F662F5">
        <w:rPr>
          <w:rFonts w:ascii="Calibri" w:hAnsi="Calibri" w:cs="Calibri"/>
          <w:sz w:val="24"/>
          <w:szCs w:val="24"/>
        </w:rPr>
        <w:t>d</w:t>
      </w:r>
      <w:r w:rsidRPr="00D436F3">
        <w:rPr>
          <w:rFonts w:ascii="Calibri" w:hAnsi="Calibri" w:cs="Calibri"/>
          <w:sz w:val="24"/>
          <w:szCs w:val="24"/>
        </w:rPr>
        <w:t xml:space="preserve">irect </w:t>
      </w:r>
      <w:r w:rsidR="00F662F5">
        <w:rPr>
          <w:rFonts w:ascii="Calibri" w:hAnsi="Calibri" w:cs="Calibri"/>
          <w:sz w:val="24"/>
          <w:szCs w:val="24"/>
        </w:rPr>
        <w:t>c</w:t>
      </w:r>
      <w:r w:rsidRPr="00D436F3">
        <w:rPr>
          <w:rFonts w:ascii="Calibri" w:hAnsi="Calibri" w:cs="Calibri"/>
          <w:sz w:val="24"/>
          <w:szCs w:val="24"/>
        </w:rPr>
        <w:t>are.</w:t>
      </w:r>
      <w:r w:rsidR="00A24034" w:rsidRPr="00D436F3">
        <w:rPr>
          <w:rFonts w:ascii="Calibri" w:hAnsi="Calibri" w:cs="Calibri"/>
          <w:sz w:val="24"/>
          <w:szCs w:val="24"/>
        </w:rPr>
        <w:t xml:space="preserve"> All </w:t>
      </w:r>
      <w:r w:rsidR="00924A4E" w:rsidRPr="00D436F3">
        <w:rPr>
          <w:rFonts w:ascii="Calibri" w:hAnsi="Calibri" w:cs="Calibri"/>
          <w:sz w:val="24"/>
          <w:szCs w:val="24"/>
        </w:rPr>
        <w:t>health and</w:t>
      </w:r>
      <w:r w:rsidR="00A24034" w:rsidRPr="00D436F3">
        <w:rPr>
          <w:rFonts w:ascii="Calibri" w:hAnsi="Calibri" w:cs="Calibri"/>
          <w:sz w:val="24"/>
          <w:szCs w:val="24"/>
        </w:rPr>
        <w:t xml:space="preserve"> </w:t>
      </w:r>
      <w:r w:rsidR="00924A4E" w:rsidRPr="00D436F3">
        <w:rPr>
          <w:rFonts w:ascii="Calibri" w:hAnsi="Calibri" w:cs="Calibri"/>
          <w:sz w:val="24"/>
          <w:szCs w:val="24"/>
        </w:rPr>
        <w:t>c</w:t>
      </w:r>
      <w:r w:rsidR="00A24034" w:rsidRPr="00D436F3">
        <w:rPr>
          <w:rFonts w:ascii="Calibri" w:hAnsi="Calibri" w:cs="Calibri"/>
          <w:sz w:val="24"/>
          <w:szCs w:val="24"/>
        </w:rPr>
        <w:t xml:space="preserve">are organisations must respect this right. </w:t>
      </w:r>
    </w:p>
    <w:p w:rsidR="00F62DDE" w:rsidRPr="00D436F3" w:rsidRDefault="00F62DDE" w:rsidP="00F7288C">
      <w:pPr>
        <w:spacing w:after="0" w:line="240" w:lineRule="auto"/>
        <w:jc w:val="both"/>
        <w:rPr>
          <w:rFonts w:ascii="Calibri" w:hAnsi="Calibri" w:cs="Calibri"/>
          <w:sz w:val="24"/>
          <w:szCs w:val="24"/>
        </w:rPr>
      </w:pPr>
    </w:p>
    <w:p w:rsidR="00DA5611" w:rsidRPr="00D436F3" w:rsidRDefault="00DA5611" w:rsidP="00F7288C">
      <w:pPr>
        <w:spacing w:after="0" w:line="240" w:lineRule="auto"/>
        <w:jc w:val="both"/>
        <w:rPr>
          <w:rFonts w:ascii="Calibri" w:hAnsi="Calibri" w:cs="Calibri"/>
          <w:sz w:val="24"/>
          <w:szCs w:val="24"/>
        </w:rPr>
      </w:pPr>
      <w:r w:rsidRPr="00D436F3">
        <w:rPr>
          <w:rFonts w:ascii="Calibri" w:hAnsi="Calibri" w:cs="Calibri"/>
          <w:sz w:val="24"/>
          <w:szCs w:val="24"/>
        </w:rPr>
        <w:t xml:space="preserve">Direct </w:t>
      </w:r>
      <w:r w:rsidR="00C71987">
        <w:rPr>
          <w:rFonts w:ascii="Calibri" w:hAnsi="Calibri" w:cs="Calibri"/>
          <w:sz w:val="24"/>
          <w:szCs w:val="24"/>
        </w:rPr>
        <w:t>c</w:t>
      </w:r>
      <w:r w:rsidRPr="00D436F3">
        <w:rPr>
          <w:rFonts w:ascii="Calibri" w:hAnsi="Calibri" w:cs="Calibri"/>
          <w:sz w:val="24"/>
          <w:szCs w:val="24"/>
        </w:rPr>
        <w:t>are is defined by the National Data Guardian review as:</w:t>
      </w:r>
    </w:p>
    <w:p w:rsidR="00D436F3" w:rsidRPr="00D436F3" w:rsidRDefault="00D436F3" w:rsidP="00F7288C">
      <w:pPr>
        <w:spacing w:after="0" w:line="240" w:lineRule="auto"/>
        <w:jc w:val="both"/>
        <w:rPr>
          <w:rFonts w:ascii="Calibri" w:hAnsi="Calibri" w:cs="Calibri"/>
          <w:sz w:val="24"/>
          <w:szCs w:val="24"/>
        </w:rPr>
      </w:pPr>
    </w:p>
    <w:p w:rsidR="00DA5611" w:rsidRDefault="00DA5611" w:rsidP="00F7288C">
      <w:pPr>
        <w:spacing w:after="0" w:line="240" w:lineRule="auto"/>
        <w:jc w:val="both"/>
        <w:rPr>
          <w:rFonts w:ascii="Calibri" w:hAnsi="Calibri" w:cs="Calibri"/>
          <w:i/>
          <w:sz w:val="24"/>
          <w:szCs w:val="24"/>
        </w:rPr>
      </w:pPr>
      <w:r w:rsidRPr="00D436F3">
        <w:rPr>
          <w:rFonts w:ascii="Calibri" w:hAnsi="Calibri" w:cs="Calibri"/>
          <w:i/>
          <w:sz w:val="24"/>
          <w:szCs w:val="24"/>
        </w:rPr>
        <w:t xml:space="preserve">“A clinical, </w:t>
      </w:r>
      <w:r w:rsidR="00FA5945" w:rsidRPr="00D436F3">
        <w:rPr>
          <w:rFonts w:ascii="Calibri" w:hAnsi="Calibri" w:cs="Calibri"/>
          <w:i/>
          <w:sz w:val="24"/>
          <w:szCs w:val="24"/>
        </w:rPr>
        <w:t>social,</w:t>
      </w:r>
      <w:r w:rsidRPr="00D436F3">
        <w:rPr>
          <w:rFonts w:ascii="Calibri" w:hAnsi="Calibri" w:cs="Calibri"/>
          <w:i/>
          <w:sz w:val="24"/>
          <w:szCs w:val="24"/>
        </w:rPr>
        <w:t xml:space="preserve"> or public health activity concerned with the prevention, investigation and treatment of illness and the alleviation of suffering of individuals. It includes supporting individuals’ ability to function and improve their participation in life and society. It includes the assurance of safe and high-quality care and treatment through local audit, the management of untoward or adverse incidents, person satisfaction including measurement of outcomes undertaken by one or more registered and regulated health or social care professionals and their team with whom the individual has a legitimate relationship for their care.”</w:t>
      </w:r>
    </w:p>
    <w:p w:rsidR="0045199D" w:rsidRPr="00DA5611" w:rsidRDefault="0045199D" w:rsidP="00F7288C">
      <w:pPr>
        <w:spacing w:after="0" w:line="240" w:lineRule="auto"/>
        <w:jc w:val="both"/>
        <w:rPr>
          <w:i/>
        </w:rPr>
      </w:pPr>
    </w:p>
    <w:p w:rsidR="0045199D" w:rsidRDefault="00697E5B" w:rsidP="00697E5B">
      <w:pPr>
        <w:pStyle w:val="Heading1"/>
      </w:pPr>
      <w:bookmarkStart w:id="1" w:name="_Toc99613149"/>
      <w:r>
        <w:t>What has changed</w:t>
      </w:r>
      <w:bookmarkEnd w:id="1"/>
    </w:p>
    <w:p w:rsidR="00E77D45" w:rsidRPr="0038596C" w:rsidRDefault="00B82B89" w:rsidP="00F7288C">
      <w:pPr>
        <w:spacing w:after="0" w:line="240" w:lineRule="auto"/>
        <w:jc w:val="both"/>
        <w:rPr>
          <w:rFonts w:ascii="Calibri" w:hAnsi="Calibri" w:cs="Calibri"/>
          <w:b/>
          <w:sz w:val="24"/>
          <w:szCs w:val="24"/>
        </w:rPr>
      </w:pPr>
      <w:r w:rsidRPr="0038596C">
        <w:rPr>
          <w:rFonts w:ascii="Calibri" w:hAnsi="Calibri" w:cs="Calibri"/>
          <w:b/>
          <w:sz w:val="24"/>
          <w:szCs w:val="24"/>
        </w:rPr>
        <w:t>Type 2</w:t>
      </w:r>
      <w:r w:rsidR="00E77D45" w:rsidRPr="0038596C">
        <w:rPr>
          <w:rFonts w:ascii="Calibri" w:hAnsi="Calibri" w:cs="Calibri"/>
          <w:b/>
          <w:sz w:val="24"/>
          <w:szCs w:val="24"/>
        </w:rPr>
        <w:t xml:space="preserve"> Opt-Out</w:t>
      </w:r>
    </w:p>
    <w:p w:rsidR="0006754C" w:rsidRDefault="001857A7" w:rsidP="00F7288C">
      <w:pPr>
        <w:spacing w:after="0" w:line="240" w:lineRule="auto"/>
        <w:jc w:val="both"/>
        <w:rPr>
          <w:rFonts w:ascii="Calibri" w:hAnsi="Calibri" w:cs="Calibri"/>
          <w:sz w:val="24"/>
          <w:szCs w:val="24"/>
        </w:rPr>
      </w:pPr>
      <w:r>
        <w:rPr>
          <w:rFonts w:ascii="Calibri" w:hAnsi="Calibri" w:cs="Calibri"/>
          <w:sz w:val="24"/>
          <w:szCs w:val="24"/>
        </w:rPr>
        <w:t>Before</w:t>
      </w:r>
      <w:r w:rsidR="007C2C37">
        <w:rPr>
          <w:rFonts w:ascii="Calibri" w:hAnsi="Calibri" w:cs="Calibri"/>
          <w:sz w:val="24"/>
          <w:szCs w:val="24"/>
        </w:rPr>
        <w:t xml:space="preserve"> </w:t>
      </w:r>
      <w:r w:rsidR="00D52D3B">
        <w:rPr>
          <w:rFonts w:ascii="Calibri" w:hAnsi="Calibri" w:cs="Calibri"/>
          <w:sz w:val="24"/>
          <w:szCs w:val="24"/>
        </w:rPr>
        <w:t>25</w:t>
      </w:r>
      <w:r w:rsidR="00D52D3B" w:rsidRPr="0045199D">
        <w:rPr>
          <w:rFonts w:ascii="Calibri" w:hAnsi="Calibri" w:cs="Calibri"/>
          <w:sz w:val="24"/>
          <w:szCs w:val="24"/>
          <w:vertAlign w:val="superscript"/>
        </w:rPr>
        <w:t>th</w:t>
      </w:r>
      <w:r w:rsidR="00D52D3B">
        <w:rPr>
          <w:rFonts w:ascii="Calibri" w:hAnsi="Calibri" w:cs="Calibri"/>
          <w:sz w:val="24"/>
          <w:szCs w:val="24"/>
        </w:rPr>
        <w:t xml:space="preserve"> May </w:t>
      </w:r>
      <w:r w:rsidR="007C2C37">
        <w:rPr>
          <w:rFonts w:ascii="Calibri" w:hAnsi="Calibri" w:cs="Calibri"/>
          <w:sz w:val="24"/>
          <w:szCs w:val="24"/>
        </w:rPr>
        <w:t>2018</w:t>
      </w:r>
      <w:r>
        <w:rPr>
          <w:rFonts w:ascii="Calibri" w:hAnsi="Calibri" w:cs="Calibri"/>
          <w:sz w:val="24"/>
          <w:szCs w:val="24"/>
        </w:rPr>
        <w:t>,</w:t>
      </w:r>
      <w:r w:rsidR="007C2C37">
        <w:rPr>
          <w:rFonts w:ascii="Calibri" w:hAnsi="Calibri" w:cs="Calibri"/>
          <w:sz w:val="24"/>
          <w:szCs w:val="24"/>
        </w:rPr>
        <w:t xml:space="preserve"> GP practices would record a </w:t>
      </w:r>
      <w:r w:rsidR="00F662F5">
        <w:rPr>
          <w:rFonts w:ascii="Calibri" w:hAnsi="Calibri" w:cs="Calibri"/>
          <w:sz w:val="24"/>
          <w:szCs w:val="24"/>
        </w:rPr>
        <w:t>patient’s</w:t>
      </w:r>
      <w:r w:rsidR="007C2C37">
        <w:rPr>
          <w:rFonts w:ascii="Calibri" w:hAnsi="Calibri" w:cs="Calibri"/>
          <w:sz w:val="24"/>
          <w:szCs w:val="24"/>
        </w:rPr>
        <w:t xml:space="preserve"> preferences </w:t>
      </w:r>
      <w:r w:rsidR="0006754C">
        <w:rPr>
          <w:rFonts w:ascii="Calibri" w:hAnsi="Calibri" w:cs="Calibri"/>
          <w:sz w:val="24"/>
          <w:szCs w:val="24"/>
        </w:rPr>
        <w:t xml:space="preserve">to opt out of having their personal confidential data </w:t>
      </w:r>
      <w:r w:rsidR="00BA1FC5">
        <w:rPr>
          <w:rFonts w:ascii="Calibri" w:hAnsi="Calibri" w:cs="Calibri"/>
          <w:sz w:val="24"/>
          <w:szCs w:val="24"/>
        </w:rPr>
        <w:t xml:space="preserve">being </w:t>
      </w:r>
      <w:r w:rsidR="0006754C">
        <w:rPr>
          <w:rFonts w:ascii="Calibri" w:hAnsi="Calibri" w:cs="Calibri"/>
          <w:sz w:val="24"/>
          <w:szCs w:val="24"/>
        </w:rPr>
        <w:t xml:space="preserve">used for </w:t>
      </w:r>
      <w:r w:rsidR="00F662F5">
        <w:rPr>
          <w:rFonts w:ascii="Calibri" w:hAnsi="Calibri" w:cs="Calibri"/>
          <w:sz w:val="24"/>
          <w:szCs w:val="24"/>
        </w:rPr>
        <w:t>r</w:t>
      </w:r>
      <w:r w:rsidR="0006754C">
        <w:rPr>
          <w:rFonts w:ascii="Calibri" w:hAnsi="Calibri" w:cs="Calibri"/>
          <w:sz w:val="24"/>
          <w:szCs w:val="24"/>
        </w:rPr>
        <w:t xml:space="preserve">esearch or </w:t>
      </w:r>
      <w:r w:rsidR="00F662F5">
        <w:rPr>
          <w:rFonts w:ascii="Calibri" w:hAnsi="Calibri" w:cs="Calibri"/>
          <w:sz w:val="24"/>
          <w:szCs w:val="24"/>
        </w:rPr>
        <w:t>p</w:t>
      </w:r>
      <w:r w:rsidR="0006754C">
        <w:rPr>
          <w:rFonts w:ascii="Calibri" w:hAnsi="Calibri" w:cs="Calibri"/>
          <w:sz w:val="24"/>
          <w:szCs w:val="24"/>
        </w:rPr>
        <w:t xml:space="preserve">lanning </w:t>
      </w:r>
      <w:r w:rsidR="007C2C37">
        <w:rPr>
          <w:rFonts w:ascii="Calibri" w:hAnsi="Calibri" w:cs="Calibri"/>
          <w:sz w:val="24"/>
          <w:szCs w:val="24"/>
        </w:rPr>
        <w:t xml:space="preserve">via a </w:t>
      </w:r>
      <w:r w:rsidR="00B82B89" w:rsidRPr="00D436F3">
        <w:rPr>
          <w:rFonts w:ascii="Calibri" w:hAnsi="Calibri" w:cs="Calibri"/>
          <w:sz w:val="24"/>
          <w:szCs w:val="24"/>
        </w:rPr>
        <w:t xml:space="preserve">Type 2 </w:t>
      </w:r>
      <w:r>
        <w:rPr>
          <w:rFonts w:ascii="Calibri" w:hAnsi="Calibri" w:cs="Calibri"/>
          <w:sz w:val="24"/>
          <w:szCs w:val="24"/>
        </w:rPr>
        <w:t>O</w:t>
      </w:r>
      <w:r w:rsidR="00B82B89" w:rsidRPr="00D436F3">
        <w:rPr>
          <w:rFonts w:ascii="Calibri" w:hAnsi="Calibri" w:cs="Calibri"/>
          <w:sz w:val="24"/>
          <w:szCs w:val="24"/>
        </w:rPr>
        <w:t>pt-</w:t>
      </w:r>
      <w:r>
        <w:rPr>
          <w:rFonts w:ascii="Calibri" w:hAnsi="Calibri" w:cs="Calibri"/>
          <w:sz w:val="24"/>
          <w:szCs w:val="24"/>
        </w:rPr>
        <w:t>O</w:t>
      </w:r>
      <w:r w:rsidR="00B82B89" w:rsidRPr="00D436F3">
        <w:rPr>
          <w:rFonts w:ascii="Calibri" w:hAnsi="Calibri" w:cs="Calibri"/>
          <w:sz w:val="24"/>
          <w:szCs w:val="24"/>
        </w:rPr>
        <w:t>ut</w:t>
      </w:r>
      <w:r w:rsidR="007C2C37">
        <w:rPr>
          <w:rFonts w:ascii="Calibri" w:hAnsi="Calibri" w:cs="Calibri"/>
          <w:sz w:val="24"/>
          <w:szCs w:val="24"/>
        </w:rPr>
        <w:t>. As of October 201</w:t>
      </w:r>
      <w:r w:rsidR="00D52D3B">
        <w:rPr>
          <w:rFonts w:ascii="Calibri" w:hAnsi="Calibri" w:cs="Calibri"/>
          <w:sz w:val="24"/>
          <w:szCs w:val="24"/>
        </w:rPr>
        <w:t>8</w:t>
      </w:r>
      <w:r w:rsidR="00F662F5">
        <w:rPr>
          <w:rFonts w:ascii="Calibri" w:hAnsi="Calibri" w:cs="Calibri"/>
          <w:sz w:val="24"/>
          <w:szCs w:val="24"/>
        </w:rPr>
        <w:t>,</w:t>
      </w:r>
      <w:r w:rsidR="0045199D">
        <w:rPr>
          <w:rFonts w:ascii="Calibri" w:hAnsi="Calibri" w:cs="Calibri"/>
          <w:sz w:val="24"/>
          <w:szCs w:val="24"/>
        </w:rPr>
        <w:t xml:space="preserve"> </w:t>
      </w:r>
      <w:r w:rsidR="007C2C37">
        <w:rPr>
          <w:rFonts w:ascii="Calibri" w:hAnsi="Calibri" w:cs="Calibri"/>
          <w:sz w:val="24"/>
          <w:szCs w:val="24"/>
        </w:rPr>
        <w:t>all patients who had a Type 2 Opt</w:t>
      </w:r>
      <w:r>
        <w:rPr>
          <w:rFonts w:ascii="Calibri" w:hAnsi="Calibri" w:cs="Calibri"/>
          <w:sz w:val="24"/>
          <w:szCs w:val="24"/>
        </w:rPr>
        <w:t>-</w:t>
      </w:r>
      <w:r w:rsidR="007C2C37">
        <w:rPr>
          <w:rFonts w:ascii="Calibri" w:hAnsi="Calibri" w:cs="Calibri"/>
          <w:sz w:val="24"/>
          <w:szCs w:val="24"/>
        </w:rPr>
        <w:t xml:space="preserve">Out applied to their GP </w:t>
      </w:r>
      <w:r w:rsidR="00F662F5">
        <w:rPr>
          <w:rFonts w:ascii="Calibri" w:hAnsi="Calibri" w:cs="Calibri"/>
          <w:sz w:val="24"/>
          <w:szCs w:val="24"/>
        </w:rPr>
        <w:t>record had</w:t>
      </w:r>
      <w:r w:rsidR="007C2C37">
        <w:rPr>
          <w:rFonts w:ascii="Calibri" w:hAnsi="Calibri" w:cs="Calibri"/>
          <w:sz w:val="24"/>
          <w:szCs w:val="24"/>
        </w:rPr>
        <w:t xml:space="preserve"> their preference </w:t>
      </w:r>
      <w:r w:rsidR="009762CE">
        <w:rPr>
          <w:rFonts w:ascii="Calibri" w:hAnsi="Calibri" w:cs="Calibri"/>
          <w:sz w:val="24"/>
          <w:szCs w:val="24"/>
        </w:rPr>
        <w:t>transferred</w:t>
      </w:r>
      <w:r w:rsidR="007C2C37">
        <w:rPr>
          <w:rFonts w:ascii="Calibri" w:hAnsi="Calibri" w:cs="Calibri"/>
          <w:sz w:val="24"/>
          <w:szCs w:val="24"/>
        </w:rPr>
        <w:t xml:space="preserve"> to the National Data Opt</w:t>
      </w:r>
      <w:r>
        <w:rPr>
          <w:rFonts w:ascii="Calibri" w:hAnsi="Calibri" w:cs="Calibri"/>
          <w:sz w:val="24"/>
          <w:szCs w:val="24"/>
        </w:rPr>
        <w:t>-</w:t>
      </w:r>
      <w:r w:rsidR="007C2C37">
        <w:rPr>
          <w:rFonts w:ascii="Calibri" w:hAnsi="Calibri" w:cs="Calibri"/>
          <w:sz w:val="24"/>
          <w:szCs w:val="24"/>
        </w:rPr>
        <w:t>Out</w:t>
      </w:r>
      <w:r w:rsidR="00BA1FC5">
        <w:rPr>
          <w:rFonts w:ascii="Calibri" w:hAnsi="Calibri" w:cs="Calibri"/>
          <w:sz w:val="24"/>
          <w:szCs w:val="24"/>
        </w:rPr>
        <w:t xml:space="preserve">. The list of patients with a Type 2 </w:t>
      </w:r>
      <w:r>
        <w:rPr>
          <w:rFonts w:ascii="Calibri" w:hAnsi="Calibri" w:cs="Calibri"/>
          <w:sz w:val="24"/>
          <w:szCs w:val="24"/>
        </w:rPr>
        <w:t>Opt-Out</w:t>
      </w:r>
      <w:r w:rsidR="00FA5945">
        <w:rPr>
          <w:rFonts w:ascii="Calibri" w:hAnsi="Calibri" w:cs="Calibri"/>
          <w:sz w:val="24"/>
          <w:szCs w:val="24"/>
        </w:rPr>
        <w:t xml:space="preserve"> </w:t>
      </w:r>
      <w:r w:rsidR="00BA1FC5">
        <w:rPr>
          <w:rFonts w:ascii="Calibri" w:hAnsi="Calibri" w:cs="Calibri"/>
          <w:sz w:val="24"/>
          <w:szCs w:val="24"/>
        </w:rPr>
        <w:t xml:space="preserve">was transferred from the GP practices control to a database </w:t>
      </w:r>
      <w:r w:rsidR="007C2C37">
        <w:rPr>
          <w:rFonts w:ascii="Calibri" w:hAnsi="Calibri" w:cs="Calibri"/>
          <w:sz w:val="24"/>
          <w:szCs w:val="24"/>
        </w:rPr>
        <w:t xml:space="preserve">which is held by NHS Digital.  </w:t>
      </w:r>
      <w:r w:rsidR="00BA1FC5">
        <w:rPr>
          <w:rFonts w:ascii="Calibri" w:hAnsi="Calibri" w:cs="Calibri"/>
          <w:sz w:val="24"/>
          <w:szCs w:val="24"/>
        </w:rPr>
        <w:t>Practices no longer hold a list of these patients</w:t>
      </w:r>
      <w:r w:rsidR="008A5B26">
        <w:rPr>
          <w:rFonts w:ascii="Calibri" w:hAnsi="Calibri" w:cs="Calibri"/>
          <w:sz w:val="24"/>
          <w:szCs w:val="24"/>
        </w:rPr>
        <w:t xml:space="preserve">. </w:t>
      </w:r>
    </w:p>
    <w:p w:rsidR="00F662F5" w:rsidRDefault="00F662F5" w:rsidP="00F7288C">
      <w:pPr>
        <w:spacing w:after="0" w:line="240" w:lineRule="auto"/>
        <w:jc w:val="both"/>
        <w:rPr>
          <w:rFonts w:ascii="Calibri" w:hAnsi="Calibri" w:cs="Calibri"/>
          <w:sz w:val="24"/>
          <w:szCs w:val="24"/>
        </w:rPr>
      </w:pPr>
    </w:p>
    <w:p w:rsidR="009762CE" w:rsidRDefault="00F662F5" w:rsidP="00F7288C">
      <w:pPr>
        <w:spacing w:after="0" w:line="240" w:lineRule="auto"/>
        <w:jc w:val="both"/>
        <w:rPr>
          <w:rFonts w:ascii="Calibri" w:hAnsi="Calibri" w:cs="Calibri"/>
          <w:sz w:val="24"/>
          <w:szCs w:val="24"/>
        </w:rPr>
      </w:pPr>
      <w:r>
        <w:rPr>
          <w:rFonts w:ascii="Calibri" w:hAnsi="Calibri" w:cs="Calibri"/>
          <w:sz w:val="24"/>
          <w:szCs w:val="24"/>
        </w:rPr>
        <w:t xml:space="preserve">As the Type 2 </w:t>
      </w:r>
      <w:r w:rsidR="001857A7">
        <w:rPr>
          <w:rFonts w:ascii="Calibri" w:hAnsi="Calibri" w:cs="Calibri"/>
          <w:sz w:val="24"/>
          <w:szCs w:val="24"/>
        </w:rPr>
        <w:t>O</w:t>
      </w:r>
      <w:r>
        <w:rPr>
          <w:rFonts w:ascii="Calibri" w:hAnsi="Calibri" w:cs="Calibri"/>
          <w:sz w:val="24"/>
          <w:szCs w:val="24"/>
        </w:rPr>
        <w:t>pt-</w:t>
      </w:r>
      <w:r w:rsidR="001857A7">
        <w:rPr>
          <w:rFonts w:ascii="Calibri" w:hAnsi="Calibri" w:cs="Calibri"/>
          <w:sz w:val="24"/>
          <w:szCs w:val="24"/>
        </w:rPr>
        <w:t>O</w:t>
      </w:r>
      <w:r>
        <w:rPr>
          <w:rFonts w:ascii="Calibri" w:hAnsi="Calibri" w:cs="Calibri"/>
          <w:sz w:val="24"/>
          <w:szCs w:val="24"/>
        </w:rPr>
        <w:t>ut is no longer relevant, practices should ensure that they have removed any details of how patients can request them from their website or surgery communication. They should instead signpost patients to the NHS App, the ‘</w:t>
      </w:r>
      <w:hyperlink r:id="rId8" w:history="1">
        <w:r w:rsidRPr="00F662F5">
          <w:rPr>
            <w:rStyle w:val="Hyperlink"/>
            <w:rFonts w:ascii="Calibri" w:hAnsi="Calibri" w:cs="Calibri"/>
            <w:sz w:val="24"/>
            <w:szCs w:val="24"/>
          </w:rPr>
          <w:t>Your Data Matters</w:t>
        </w:r>
      </w:hyperlink>
      <w:r>
        <w:rPr>
          <w:rFonts w:ascii="Calibri" w:hAnsi="Calibri" w:cs="Calibri"/>
          <w:sz w:val="24"/>
          <w:szCs w:val="24"/>
        </w:rPr>
        <w:t>’ site or the telephone number where they can register a National Data Opt-Out.</w:t>
      </w:r>
    </w:p>
    <w:p w:rsidR="008A5B26" w:rsidRDefault="008A5B26" w:rsidP="00F7288C">
      <w:pPr>
        <w:spacing w:after="0" w:line="240" w:lineRule="auto"/>
        <w:jc w:val="both"/>
        <w:rPr>
          <w:rFonts w:ascii="Calibri" w:hAnsi="Calibri" w:cs="Calibri"/>
          <w:sz w:val="24"/>
          <w:szCs w:val="24"/>
        </w:rPr>
      </w:pPr>
    </w:p>
    <w:p w:rsidR="009762CE" w:rsidRDefault="009762CE" w:rsidP="00F7288C">
      <w:pPr>
        <w:spacing w:after="0" w:line="240" w:lineRule="auto"/>
        <w:jc w:val="both"/>
        <w:rPr>
          <w:rFonts w:ascii="Calibri" w:hAnsi="Calibri" w:cs="Calibri"/>
          <w:sz w:val="24"/>
          <w:szCs w:val="24"/>
        </w:rPr>
      </w:pPr>
      <w:r>
        <w:rPr>
          <w:rFonts w:ascii="Calibri" w:hAnsi="Calibri" w:cs="Calibri"/>
          <w:sz w:val="24"/>
          <w:szCs w:val="24"/>
        </w:rPr>
        <w:t>The National Data Opt</w:t>
      </w:r>
      <w:r w:rsidR="00F662F5">
        <w:rPr>
          <w:rFonts w:ascii="Calibri" w:hAnsi="Calibri" w:cs="Calibri"/>
          <w:sz w:val="24"/>
          <w:szCs w:val="24"/>
        </w:rPr>
        <w:t>-</w:t>
      </w:r>
      <w:r>
        <w:rPr>
          <w:rFonts w:ascii="Calibri" w:hAnsi="Calibri" w:cs="Calibri"/>
          <w:sz w:val="24"/>
          <w:szCs w:val="24"/>
        </w:rPr>
        <w:t xml:space="preserve">Out will </w:t>
      </w:r>
      <w:r w:rsidR="008A5B26">
        <w:rPr>
          <w:rFonts w:ascii="Calibri" w:hAnsi="Calibri" w:cs="Calibri"/>
          <w:sz w:val="24"/>
          <w:szCs w:val="24"/>
        </w:rPr>
        <w:t xml:space="preserve">still </w:t>
      </w:r>
      <w:r>
        <w:rPr>
          <w:rFonts w:ascii="Calibri" w:hAnsi="Calibri" w:cs="Calibri"/>
          <w:sz w:val="24"/>
          <w:szCs w:val="24"/>
        </w:rPr>
        <w:t>allow patients</w:t>
      </w:r>
      <w:r w:rsidR="00F662F5">
        <w:rPr>
          <w:rFonts w:ascii="Calibri" w:hAnsi="Calibri" w:cs="Calibri"/>
          <w:sz w:val="24"/>
          <w:szCs w:val="24"/>
        </w:rPr>
        <w:t>’</w:t>
      </w:r>
      <w:r>
        <w:rPr>
          <w:rFonts w:ascii="Calibri" w:hAnsi="Calibri" w:cs="Calibri"/>
          <w:sz w:val="24"/>
          <w:szCs w:val="24"/>
        </w:rPr>
        <w:t xml:space="preserve"> personal confidential and special category data to be gathered from their GP surgery by NHS </w:t>
      </w:r>
      <w:r w:rsidR="00F662F5">
        <w:rPr>
          <w:rFonts w:ascii="Calibri" w:hAnsi="Calibri" w:cs="Calibri"/>
          <w:sz w:val="24"/>
          <w:szCs w:val="24"/>
        </w:rPr>
        <w:t>D</w:t>
      </w:r>
      <w:r>
        <w:rPr>
          <w:rFonts w:ascii="Calibri" w:hAnsi="Calibri" w:cs="Calibri"/>
          <w:sz w:val="24"/>
          <w:szCs w:val="24"/>
        </w:rPr>
        <w:t xml:space="preserve">igital but will be excluded from planning or research activities. </w:t>
      </w:r>
    </w:p>
    <w:p w:rsidR="008A5B26" w:rsidRDefault="008A5B26" w:rsidP="00F7288C">
      <w:pPr>
        <w:spacing w:after="0" w:line="240" w:lineRule="auto"/>
        <w:jc w:val="both"/>
        <w:rPr>
          <w:rFonts w:ascii="Calibri" w:hAnsi="Calibri" w:cs="Calibri"/>
          <w:sz w:val="24"/>
          <w:szCs w:val="24"/>
        </w:rPr>
      </w:pPr>
    </w:p>
    <w:p w:rsidR="008A5B26" w:rsidRDefault="008A5B26" w:rsidP="00F7288C">
      <w:pPr>
        <w:spacing w:after="0" w:line="240" w:lineRule="auto"/>
        <w:jc w:val="both"/>
        <w:rPr>
          <w:rFonts w:ascii="Calibri" w:hAnsi="Calibri" w:cs="Calibri"/>
          <w:sz w:val="24"/>
          <w:szCs w:val="24"/>
        </w:rPr>
      </w:pPr>
      <w:r>
        <w:rPr>
          <w:rFonts w:ascii="Calibri" w:hAnsi="Calibri" w:cs="Calibri"/>
          <w:sz w:val="24"/>
          <w:szCs w:val="24"/>
        </w:rPr>
        <w:t>Practices wishing to share a patient</w:t>
      </w:r>
      <w:r w:rsidR="00F662F5">
        <w:rPr>
          <w:rFonts w:ascii="Calibri" w:hAnsi="Calibri" w:cs="Calibri"/>
          <w:sz w:val="24"/>
          <w:szCs w:val="24"/>
        </w:rPr>
        <w:t>’</w:t>
      </w:r>
      <w:r>
        <w:rPr>
          <w:rFonts w:ascii="Calibri" w:hAnsi="Calibri" w:cs="Calibri"/>
          <w:sz w:val="24"/>
          <w:szCs w:val="24"/>
        </w:rPr>
        <w:t xml:space="preserve">s personal confidential or special category data for any </w:t>
      </w:r>
      <w:r w:rsidR="00F3095B">
        <w:rPr>
          <w:rFonts w:ascii="Calibri" w:hAnsi="Calibri" w:cs="Calibri"/>
          <w:sz w:val="24"/>
          <w:szCs w:val="24"/>
        </w:rPr>
        <w:t>planning or research should assess if there is a legal basis which allows confidentiality to be overridden or run the list of patients details through the MESH</w:t>
      </w:r>
      <w:r w:rsidR="00F662F5">
        <w:rPr>
          <w:rFonts w:ascii="Calibri" w:hAnsi="Calibri" w:cs="Calibri"/>
          <w:sz w:val="24"/>
          <w:szCs w:val="24"/>
        </w:rPr>
        <w:t>.</w:t>
      </w:r>
      <w:r w:rsidR="00A44BFA">
        <w:rPr>
          <w:rFonts w:ascii="Calibri" w:hAnsi="Calibri" w:cs="Calibri"/>
          <w:sz w:val="24"/>
          <w:szCs w:val="24"/>
        </w:rPr>
        <w:t xml:space="preserve"> </w:t>
      </w:r>
      <w:r w:rsidR="00F662F5">
        <w:rPr>
          <w:rFonts w:ascii="Calibri" w:hAnsi="Calibri" w:cs="Calibri"/>
          <w:sz w:val="24"/>
          <w:szCs w:val="24"/>
        </w:rPr>
        <w:t>U</w:t>
      </w:r>
      <w:r w:rsidR="00A44BFA">
        <w:rPr>
          <w:rFonts w:ascii="Calibri" w:hAnsi="Calibri" w:cs="Calibri"/>
          <w:sz w:val="24"/>
          <w:szCs w:val="24"/>
        </w:rPr>
        <w:t>sers of TPP or EMIS</w:t>
      </w:r>
      <w:r w:rsidR="00E81003">
        <w:rPr>
          <w:rFonts w:ascii="Calibri" w:hAnsi="Calibri" w:cs="Calibri"/>
          <w:sz w:val="24"/>
          <w:szCs w:val="24"/>
        </w:rPr>
        <w:t xml:space="preserve"> should already </w:t>
      </w:r>
      <w:r w:rsidR="00A44BFA">
        <w:rPr>
          <w:rFonts w:ascii="Calibri" w:hAnsi="Calibri" w:cs="Calibri"/>
          <w:sz w:val="24"/>
          <w:szCs w:val="24"/>
        </w:rPr>
        <w:t>have a technical solution on their system</w:t>
      </w:r>
      <w:r w:rsidR="00F3095B">
        <w:rPr>
          <w:rFonts w:ascii="Calibri" w:hAnsi="Calibri" w:cs="Calibri"/>
          <w:sz w:val="24"/>
          <w:szCs w:val="24"/>
        </w:rPr>
        <w:t xml:space="preserve">. This will remove those patients who have a NDOO applied to their record. </w:t>
      </w:r>
    </w:p>
    <w:p w:rsidR="0006754C" w:rsidRDefault="0006754C" w:rsidP="00F7288C">
      <w:pPr>
        <w:spacing w:after="0" w:line="240" w:lineRule="auto"/>
        <w:jc w:val="both"/>
        <w:rPr>
          <w:rFonts w:ascii="Calibri" w:hAnsi="Calibri" w:cs="Calibri"/>
          <w:sz w:val="24"/>
          <w:szCs w:val="24"/>
        </w:rPr>
      </w:pPr>
    </w:p>
    <w:p w:rsidR="0006754C" w:rsidRPr="00F46330" w:rsidRDefault="0006754C" w:rsidP="007A2EFF">
      <w:pPr>
        <w:pStyle w:val="Heading1"/>
        <w:numPr>
          <w:ilvl w:val="0"/>
          <w:numId w:val="12"/>
        </w:numPr>
      </w:pPr>
      <w:bookmarkStart w:id="2" w:name="_Toc99613150"/>
      <w:r w:rsidRPr="00F46330">
        <w:t xml:space="preserve">How can patients </w:t>
      </w:r>
      <w:r w:rsidR="00F662F5">
        <w:t>o</w:t>
      </w:r>
      <w:r w:rsidRPr="00F46330">
        <w:t xml:space="preserve">pt </w:t>
      </w:r>
      <w:r w:rsidR="00F662F5">
        <w:t>o</w:t>
      </w:r>
      <w:r w:rsidRPr="00F46330">
        <w:t>ut and what does it mean?</w:t>
      </w:r>
      <w:bookmarkEnd w:id="2"/>
    </w:p>
    <w:p w:rsidR="0000441F" w:rsidRPr="00F02B5E" w:rsidRDefault="0000441F" w:rsidP="0045199D">
      <w:pPr>
        <w:jc w:val="both"/>
        <w:rPr>
          <w:sz w:val="24"/>
          <w:szCs w:val="24"/>
        </w:rPr>
      </w:pPr>
      <w:r w:rsidRPr="00F02B5E">
        <w:rPr>
          <w:sz w:val="24"/>
          <w:szCs w:val="24"/>
        </w:rPr>
        <w:t>Patients have the right to opt out of having their personal confidential data being used for purposes other than their individual direct health care. This means that before the practice can share, disclose, or allow access to</w:t>
      </w:r>
      <w:r w:rsidR="008B0940" w:rsidRPr="00F02B5E">
        <w:rPr>
          <w:sz w:val="24"/>
          <w:szCs w:val="24"/>
        </w:rPr>
        <w:t xml:space="preserve"> personal identifiable data by</w:t>
      </w:r>
      <w:r w:rsidRPr="00F02B5E">
        <w:rPr>
          <w:sz w:val="24"/>
          <w:szCs w:val="24"/>
        </w:rPr>
        <w:t xml:space="preserve"> other organisations for purposes other than to provide them with </w:t>
      </w:r>
      <w:r w:rsidR="008B0940" w:rsidRPr="00F02B5E">
        <w:rPr>
          <w:sz w:val="24"/>
          <w:szCs w:val="24"/>
        </w:rPr>
        <w:t xml:space="preserve">individual direct </w:t>
      </w:r>
      <w:r w:rsidRPr="00F02B5E">
        <w:rPr>
          <w:sz w:val="24"/>
          <w:szCs w:val="24"/>
        </w:rPr>
        <w:t xml:space="preserve">health care </w:t>
      </w:r>
      <w:r w:rsidR="008B0940" w:rsidRPr="00F02B5E">
        <w:rPr>
          <w:sz w:val="24"/>
          <w:szCs w:val="24"/>
        </w:rPr>
        <w:t>(</w:t>
      </w:r>
      <w:r w:rsidRPr="00F02B5E">
        <w:rPr>
          <w:sz w:val="24"/>
          <w:szCs w:val="24"/>
        </w:rPr>
        <w:t xml:space="preserve">such as </w:t>
      </w:r>
      <w:r w:rsidR="00F662F5">
        <w:rPr>
          <w:sz w:val="24"/>
          <w:szCs w:val="24"/>
        </w:rPr>
        <w:t>p</w:t>
      </w:r>
      <w:r w:rsidRPr="00F02B5E">
        <w:rPr>
          <w:sz w:val="24"/>
          <w:szCs w:val="24"/>
        </w:rPr>
        <w:t xml:space="preserve">lanning or </w:t>
      </w:r>
      <w:r w:rsidR="00F662F5">
        <w:rPr>
          <w:sz w:val="24"/>
          <w:szCs w:val="24"/>
        </w:rPr>
        <w:t>r</w:t>
      </w:r>
      <w:r w:rsidRPr="00F02B5E">
        <w:rPr>
          <w:sz w:val="24"/>
          <w:szCs w:val="24"/>
        </w:rPr>
        <w:t>esearch</w:t>
      </w:r>
      <w:r w:rsidR="008B0940" w:rsidRPr="00F02B5E">
        <w:rPr>
          <w:sz w:val="24"/>
          <w:szCs w:val="24"/>
        </w:rPr>
        <w:t>)</w:t>
      </w:r>
      <w:r w:rsidRPr="00F02B5E">
        <w:rPr>
          <w:sz w:val="24"/>
          <w:szCs w:val="24"/>
        </w:rPr>
        <w:t>, patient</w:t>
      </w:r>
      <w:r w:rsidR="00F662F5">
        <w:rPr>
          <w:sz w:val="24"/>
          <w:szCs w:val="24"/>
        </w:rPr>
        <w:t>s</w:t>
      </w:r>
      <w:r w:rsidRPr="00F02B5E">
        <w:rPr>
          <w:sz w:val="24"/>
          <w:szCs w:val="24"/>
        </w:rPr>
        <w:t xml:space="preserve"> should </w:t>
      </w:r>
      <w:r w:rsidR="001F6A4E" w:rsidRPr="00F02B5E">
        <w:rPr>
          <w:sz w:val="24"/>
          <w:szCs w:val="24"/>
        </w:rPr>
        <w:t xml:space="preserve">be </w:t>
      </w:r>
      <w:r w:rsidRPr="00F02B5E">
        <w:rPr>
          <w:sz w:val="24"/>
          <w:szCs w:val="24"/>
        </w:rPr>
        <w:t>offered the right to object</w:t>
      </w:r>
      <w:r w:rsidR="001F6A4E" w:rsidRPr="00F02B5E">
        <w:rPr>
          <w:sz w:val="24"/>
          <w:szCs w:val="24"/>
        </w:rPr>
        <w:t xml:space="preserve"> via an opt</w:t>
      </w:r>
      <w:r w:rsidR="00F662F5">
        <w:rPr>
          <w:sz w:val="24"/>
          <w:szCs w:val="24"/>
        </w:rPr>
        <w:t>-</w:t>
      </w:r>
      <w:r w:rsidR="001F6A4E" w:rsidRPr="00F02B5E">
        <w:rPr>
          <w:sz w:val="24"/>
          <w:szCs w:val="24"/>
        </w:rPr>
        <w:t>out</w:t>
      </w:r>
      <w:r w:rsidRPr="00F02B5E">
        <w:rPr>
          <w:sz w:val="24"/>
          <w:szCs w:val="24"/>
        </w:rPr>
        <w:t xml:space="preserve">. </w:t>
      </w:r>
    </w:p>
    <w:p w:rsidR="0000441F" w:rsidRPr="00F02B5E" w:rsidRDefault="0000441F" w:rsidP="0000441F">
      <w:pPr>
        <w:rPr>
          <w:sz w:val="24"/>
          <w:szCs w:val="24"/>
        </w:rPr>
      </w:pPr>
      <w:r w:rsidRPr="00F02B5E">
        <w:rPr>
          <w:sz w:val="24"/>
          <w:szCs w:val="24"/>
        </w:rPr>
        <w:t>There are exemptions to</w:t>
      </w:r>
      <w:r w:rsidR="009762CE" w:rsidRPr="00F02B5E">
        <w:rPr>
          <w:sz w:val="24"/>
          <w:szCs w:val="24"/>
        </w:rPr>
        <w:t xml:space="preserve"> opting out and cases where </w:t>
      </w:r>
      <w:r w:rsidRPr="00F02B5E">
        <w:rPr>
          <w:sz w:val="24"/>
          <w:szCs w:val="24"/>
        </w:rPr>
        <w:t>sharing patients</w:t>
      </w:r>
      <w:r w:rsidR="00F662F5">
        <w:rPr>
          <w:sz w:val="24"/>
          <w:szCs w:val="24"/>
        </w:rPr>
        <w:t>’</w:t>
      </w:r>
      <w:r w:rsidRPr="00F02B5E">
        <w:rPr>
          <w:sz w:val="24"/>
          <w:szCs w:val="24"/>
        </w:rPr>
        <w:t xml:space="preserve"> personal confidential data</w:t>
      </w:r>
      <w:r w:rsidR="009762CE" w:rsidRPr="00F02B5E">
        <w:rPr>
          <w:sz w:val="24"/>
          <w:szCs w:val="24"/>
        </w:rPr>
        <w:t xml:space="preserve"> outside of their direct care is allowed</w:t>
      </w:r>
      <w:r w:rsidR="00F662F5">
        <w:rPr>
          <w:sz w:val="24"/>
          <w:szCs w:val="24"/>
        </w:rPr>
        <w:t>. For more details,</w:t>
      </w:r>
      <w:r w:rsidRPr="00F02B5E">
        <w:rPr>
          <w:sz w:val="24"/>
          <w:szCs w:val="24"/>
        </w:rPr>
        <w:t xml:space="preserve"> </w:t>
      </w:r>
      <w:hyperlink w:anchor="_4._Exemptions_to" w:history="1">
        <w:r w:rsidRPr="00F02B5E">
          <w:rPr>
            <w:rStyle w:val="Hyperlink"/>
            <w:sz w:val="24"/>
            <w:szCs w:val="24"/>
          </w:rPr>
          <w:t>see below</w:t>
        </w:r>
      </w:hyperlink>
      <w:r w:rsidR="001F6A4E" w:rsidRPr="00F02B5E">
        <w:rPr>
          <w:sz w:val="24"/>
          <w:szCs w:val="24"/>
        </w:rPr>
        <w:t xml:space="preserve"> in section 4</w:t>
      </w:r>
      <w:r w:rsidRPr="00F02B5E">
        <w:rPr>
          <w:sz w:val="24"/>
          <w:szCs w:val="24"/>
        </w:rPr>
        <w:t>.</w:t>
      </w:r>
    </w:p>
    <w:p w:rsidR="0006754C" w:rsidRPr="00F02B5E" w:rsidRDefault="0006754C" w:rsidP="0006754C">
      <w:pPr>
        <w:rPr>
          <w:b/>
          <w:bCs/>
          <w:sz w:val="24"/>
          <w:szCs w:val="24"/>
        </w:rPr>
      </w:pPr>
      <w:r w:rsidRPr="00F02B5E">
        <w:rPr>
          <w:b/>
          <w:bCs/>
          <w:sz w:val="24"/>
          <w:szCs w:val="24"/>
        </w:rPr>
        <w:t>Type 1 Opt</w:t>
      </w:r>
      <w:r w:rsidR="00F662F5">
        <w:rPr>
          <w:b/>
          <w:bCs/>
          <w:sz w:val="24"/>
          <w:szCs w:val="24"/>
        </w:rPr>
        <w:t>-</w:t>
      </w:r>
      <w:r w:rsidRPr="00F02B5E">
        <w:rPr>
          <w:b/>
          <w:bCs/>
          <w:sz w:val="24"/>
          <w:szCs w:val="24"/>
        </w:rPr>
        <w:t>Out</w:t>
      </w:r>
    </w:p>
    <w:p w:rsidR="0006754C" w:rsidRPr="00F02B5E" w:rsidRDefault="0006754C" w:rsidP="0006754C">
      <w:pPr>
        <w:rPr>
          <w:sz w:val="24"/>
          <w:szCs w:val="24"/>
        </w:rPr>
      </w:pPr>
      <w:r w:rsidRPr="00F02B5E">
        <w:rPr>
          <w:sz w:val="24"/>
          <w:szCs w:val="24"/>
        </w:rPr>
        <w:t xml:space="preserve">Patients may opt out of having their personal confidential data being extracted or shared by the GP practice for purposes other than their individual direct care.  </w:t>
      </w:r>
    </w:p>
    <w:p w:rsidR="0000441F" w:rsidRPr="00F02B5E" w:rsidRDefault="0000441F" w:rsidP="0006754C">
      <w:pPr>
        <w:rPr>
          <w:sz w:val="24"/>
          <w:szCs w:val="24"/>
        </w:rPr>
      </w:pPr>
      <w:r w:rsidRPr="00F02B5E">
        <w:rPr>
          <w:sz w:val="24"/>
          <w:szCs w:val="24"/>
        </w:rPr>
        <w:t xml:space="preserve">It is the responsibility of the GP practice to record </w:t>
      </w:r>
      <w:r w:rsidRPr="00F02B5E">
        <w:rPr>
          <w:b/>
          <w:bCs/>
          <w:sz w:val="24"/>
          <w:szCs w:val="24"/>
        </w:rPr>
        <w:t>Type 1 Opt</w:t>
      </w:r>
      <w:r w:rsidR="00F662F5">
        <w:rPr>
          <w:b/>
          <w:bCs/>
          <w:sz w:val="24"/>
          <w:szCs w:val="24"/>
        </w:rPr>
        <w:t>-</w:t>
      </w:r>
      <w:r w:rsidRPr="00F02B5E">
        <w:rPr>
          <w:b/>
          <w:bCs/>
          <w:sz w:val="24"/>
          <w:szCs w:val="24"/>
        </w:rPr>
        <w:t>Outs</w:t>
      </w:r>
      <w:r w:rsidRPr="00F02B5E">
        <w:rPr>
          <w:sz w:val="24"/>
          <w:szCs w:val="24"/>
        </w:rPr>
        <w:t xml:space="preserve"> on the patient</w:t>
      </w:r>
      <w:r w:rsidR="00F662F5">
        <w:rPr>
          <w:sz w:val="24"/>
          <w:szCs w:val="24"/>
        </w:rPr>
        <w:t>’</w:t>
      </w:r>
      <w:r w:rsidRPr="00F02B5E">
        <w:rPr>
          <w:sz w:val="24"/>
          <w:szCs w:val="24"/>
        </w:rPr>
        <w:t xml:space="preserve">s record. </w:t>
      </w:r>
      <w:r w:rsidR="00BD60A6">
        <w:rPr>
          <w:sz w:val="24"/>
          <w:szCs w:val="24"/>
        </w:rPr>
        <w:t>Type 1 Opt</w:t>
      </w:r>
      <w:r w:rsidR="00F662F5">
        <w:rPr>
          <w:sz w:val="24"/>
          <w:szCs w:val="24"/>
        </w:rPr>
        <w:t>-O</w:t>
      </w:r>
      <w:r w:rsidR="00BD60A6">
        <w:rPr>
          <w:sz w:val="24"/>
          <w:szCs w:val="24"/>
        </w:rPr>
        <w:t xml:space="preserve">uts only apply to GP data. </w:t>
      </w:r>
    </w:p>
    <w:p w:rsidR="0006754C" w:rsidRPr="00F02B5E" w:rsidRDefault="0006754C" w:rsidP="00F7288C">
      <w:pPr>
        <w:spacing w:after="0" w:line="240" w:lineRule="auto"/>
        <w:jc w:val="both"/>
        <w:rPr>
          <w:sz w:val="24"/>
          <w:szCs w:val="24"/>
        </w:rPr>
      </w:pPr>
      <w:r w:rsidRPr="00F02B5E">
        <w:rPr>
          <w:sz w:val="24"/>
          <w:szCs w:val="24"/>
        </w:rPr>
        <w:t>Patients can request that a Type 1 Opt</w:t>
      </w:r>
      <w:r w:rsidR="00F662F5">
        <w:rPr>
          <w:sz w:val="24"/>
          <w:szCs w:val="24"/>
        </w:rPr>
        <w:t>-</w:t>
      </w:r>
      <w:r w:rsidRPr="00F02B5E">
        <w:rPr>
          <w:sz w:val="24"/>
          <w:szCs w:val="24"/>
        </w:rPr>
        <w:t>Out is applied to their medical record using the codes provided</w:t>
      </w:r>
      <w:r w:rsidR="00F662F5">
        <w:rPr>
          <w:sz w:val="24"/>
          <w:szCs w:val="24"/>
        </w:rPr>
        <w:t>.</w:t>
      </w:r>
      <w:r w:rsidRPr="00F02B5E">
        <w:rPr>
          <w:sz w:val="24"/>
          <w:szCs w:val="24"/>
        </w:rPr>
        <w:t xml:space="preserve"> </w:t>
      </w:r>
      <w:r w:rsidR="00F662F5">
        <w:rPr>
          <w:sz w:val="24"/>
          <w:szCs w:val="24"/>
        </w:rPr>
        <w:t>T</w:t>
      </w:r>
      <w:r w:rsidRPr="00F02B5E">
        <w:rPr>
          <w:sz w:val="24"/>
          <w:szCs w:val="24"/>
        </w:rPr>
        <w:t>his means that before the GP practice wish to share patients</w:t>
      </w:r>
      <w:r w:rsidR="00F662F5">
        <w:rPr>
          <w:sz w:val="24"/>
          <w:szCs w:val="24"/>
        </w:rPr>
        <w:t>’</w:t>
      </w:r>
      <w:r w:rsidRPr="00F02B5E">
        <w:rPr>
          <w:sz w:val="24"/>
          <w:szCs w:val="24"/>
        </w:rPr>
        <w:t xml:space="preserve"> details for anything other than the patients individual direct care, they have to exclude those patients from their search criteria.</w:t>
      </w:r>
    </w:p>
    <w:p w:rsidR="0006754C" w:rsidRPr="00F02B5E" w:rsidRDefault="0006754C" w:rsidP="00F7288C">
      <w:pPr>
        <w:spacing w:after="0" w:line="240" w:lineRule="auto"/>
        <w:jc w:val="both"/>
        <w:rPr>
          <w:sz w:val="24"/>
          <w:szCs w:val="24"/>
        </w:rPr>
      </w:pPr>
    </w:p>
    <w:p w:rsidR="0006754C" w:rsidRPr="00F02B5E" w:rsidRDefault="0006754C" w:rsidP="00F7288C">
      <w:pPr>
        <w:spacing w:after="0" w:line="240" w:lineRule="auto"/>
        <w:jc w:val="both"/>
        <w:rPr>
          <w:rFonts w:ascii="Calibri" w:hAnsi="Calibri" w:cs="Calibri"/>
          <w:sz w:val="24"/>
          <w:szCs w:val="24"/>
        </w:rPr>
      </w:pPr>
      <w:r w:rsidRPr="00F02B5E">
        <w:rPr>
          <w:sz w:val="24"/>
          <w:szCs w:val="24"/>
        </w:rPr>
        <w:t xml:space="preserve">It also means that when NHS Digital </w:t>
      </w:r>
      <w:r w:rsidR="0000441F" w:rsidRPr="00F02B5E">
        <w:rPr>
          <w:sz w:val="24"/>
          <w:szCs w:val="24"/>
        </w:rPr>
        <w:t>extract patient data</w:t>
      </w:r>
      <w:r w:rsidR="00BD60A6">
        <w:rPr>
          <w:sz w:val="24"/>
          <w:szCs w:val="24"/>
        </w:rPr>
        <w:t xml:space="preserve"> from GP practices</w:t>
      </w:r>
      <w:r w:rsidR="0000441F" w:rsidRPr="00F02B5E">
        <w:rPr>
          <w:sz w:val="24"/>
          <w:szCs w:val="24"/>
        </w:rPr>
        <w:t xml:space="preserve"> in order to inform </w:t>
      </w:r>
      <w:r w:rsidR="00F662F5">
        <w:rPr>
          <w:sz w:val="24"/>
          <w:szCs w:val="24"/>
        </w:rPr>
        <w:t>p</w:t>
      </w:r>
      <w:r w:rsidR="0000441F" w:rsidRPr="00F02B5E">
        <w:rPr>
          <w:sz w:val="24"/>
          <w:szCs w:val="24"/>
        </w:rPr>
        <w:t xml:space="preserve">lanning or </w:t>
      </w:r>
      <w:r w:rsidR="00F662F5">
        <w:rPr>
          <w:sz w:val="24"/>
          <w:szCs w:val="24"/>
        </w:rPr>
        <w:t>r</w:t>
      </w:r>
      <w:r w:rsidR="0000441F" w:rsidRPr="00F02B5E">
        <w:rPr>
          <w:sz w:val="24"/>
          <w:szCs w:val="24"/>
        </w:rPr>
        <w:t>esearch those patients will be excluded from the extraction.</w:t>
      </w:r>
      <w:r w:rsidR="00BD60A6">
        <w:rPr>
          <w:sz w:val="24"/>
          <w:szCs w:val="24"/>
        </w:rPr>
        <w:t xml:space="preserve"> It does not apply to the data NHS Digital collects from other health providers.</w:t>
      </w:r>
    </w:p>
    <w:p w:rsidR="00E77D45" w:rsidRDefault="00E77D45" w:rsidP="00F7288C">
      <w:pPr>
        <w:spacing w:after="0" w:line="240" w:lineRule="auto"/>
        <w:jc w:val="both"/>
        <w:rPr>
          <w:rFonts w:ascii="Calibri" w:hAnsi="Calibri" w:cs="Calibri"/>
          <w:sz w:val="24"/>
          <w:szCs w:val="24"/>
        </w:rPr>
      </w:pPr>
    </w:p>
    <w:p w:rsidR="0019347B" w:rsidRDefault="0019347B" w:rsidP="00F7288C">
      <w:pPr>
        <w:spacing w:after="0" w:line="240" w:lineRule="auto"/>
        <w:jc w:val="both"/>
        <w:rPr>
          <w:rFonts w:ascii="Calibri" w:hAnsi="Calibri" w:cs="Calibri"/>
          <w:b/>
          <w:bCs/>
          <w:sz w:val="24"/>
          <w:szCs w:val="24"/>
        </w:rPr>
      </w:pPr>
      <w:r w:rsidRPr="0045199D">
        <w:rPr>
          <w:rFonts w:ascii="Calibri" w:hAnsi="Calibri" w:cs="Calibri"/>
          <w:b/>
          <w:bCs/>
          <w:sz w:val="24"/>
          <w:szCs w:val="24"/>
        </w:rPr>
        <w:t>The National Data Opt</w:t>
      </w:r>
      <w:r w:rsidR="00F662F5">
        <w:rPr>
          <w:rFonts w:ascii="Calibri" w:hAnsi="Calibri" w:cs="Calibri"/>
          <w:b/>
          <w:bCs/>
          <w:sz w:val="24"/>
          <w:szCs w:val="24"/>
        </w:rPr>
        <w:t>-</w:t>
      </w:r>
      <w:r w:rsidRPr="0045199D">
        <w:rPr>
          <w:rFonts w:ascii="Calibri" w:hAnsi="Calibri" w:cs="Calibri"/>
          <w:b/>
          <w:bCs/>
          <w:sz w:val="24"/>
          <w:szCs w:val="24"/>
        </w:rPr>
        <w:t xml:space="preserve">Out </w:t>
      </w:r>
      <w:r w:rsidR="00F02B5E">
        <w:rPr>
          <w:rFonts w:ascii="Calibri" w:hAnsi="Calibri" w:cs="Calibri"/>
          <w:b/>
          <w:bCs/>
          <w:sz w:val="24"/>
          <w:szCs w:val="24"/>
        </w:rPr>
        <w:t>–</w:t>
      </w:r>
      <w:r w:rsidRPr="0045199D">
        <w:rPr>
          <w:rFonts w:ascii="Calibri" w:hAnsi="Calibri" w:cs="Calibri"/>
          <w:b/>
          <w:bCs/>
          <w:sz w:val="24"/>
          <w:szCs w:val="24"/>
        </w:rPr>
        <w:t xml:space="preserve"> NDOO</w:t>
      </w:r>
    </w:p>
    <w:p w:rsidR="00F02B5E" w:rsidRPr="0045199D" w:rsidRDefault="00F02B5E" w:rsidP="00F7288C">
      <w:pPr>
        <w:spacing w:after="0" w:line="240" w:lineRule="auto"/>
        <w:jc w:val="both"/>
        <w:rPr>
          <w:rFonts w:ascii="Calibri" w:hAnsi="Calibri" w:cs="Calibri"/>
          <w:b/>
          <w:bCs/>
          <w:sz w:val="24"/>
          <w:szCs w:val="24"/>
        </w:rPr>
      </w:pPr>
    </w:p>
    <w:p w:rsidR="0019347B" w:rsidRDefault="0019347B" w:rsidP="00F7288C">
      <w:pPr>
        <w:spacing w:after="0" w:line="240" w:lineRule="auto"/>
        <w:jc w:val="both"/>
        <w:rPr>
          <w:rFonts w:ascii="Calibri" w:hAnsi="Calibri" w:cs="Calibri"/>
          <w:sz w:val="24"/>
          <w:szCs w:val="24"/>
        </w:rPr>
      </w:pPr>
      <w:r w:rsidRPr="0045199D">
        <w:rPr>
          <w:rFonts w:ascii="Calibri" w:hAnsi="Calibri" w:cs="Calibri"/>
          <w:sz w:val="24"/>
          <w:szCs w:val="24"/>
        </w:rPr>
        <w:t>The National Data Opt</w:t>
      </w:r>
      <w:r w:rsidR="00F662F5">
        <w:rPr>
          <w:rFonts w:ascii="Calibri" w:hAnsi="Calibri" w:cs="Calibri"/>
          <w:sz w:val="24"/>
          <w:szCs w:val="24"/>
        </w:rPr>
        <w:t>-</w:t>
      </w:r>
      <w:r w:rsidRPr="0045199D">
        <w:rPr>
          <w:rFonts w:ascii="Calibri" w:hAnsi="Calibri" w:cs="Calibri"/>
          <w:sz w:val="24"/>
          <w:szCs w:val="24"/>
        </w:rPr>
        <w:t>Out replaced the Type 2 Opt</w:t>
      </w:r>
      <w:r w:rsidR="00F662F5">
        <w:rPr>
          <w:rFonts w:ascii="Calibri" w:hAnsi="Calibri" w:cs="Calibri"/>
          <w:sz w:val="24"/>
          <w:szCs w:val="24"/>
        </w:rPr>
        <w:t>-</w:t>
      </w:r>
      <w:r w:rsidRPr="0045199D">
        <w:rPr>
          <w:rFonts w:ascii="Calibri" w:hAnsi="Calibri" w:cs="Calibri"/>
          <w:sz w:val="24"/>
          <w:szCs w:val="24"/>
        </w:rPr>
        <w:t>Out Programme in</w:t>
      </w:r>
      <w:r w:rsidR="001F6A4E">
        <w:rPr>
          <w:rFonts w:ascii="Calibri" w:hAnsi="Calibri" w:cs="Calibri"/>
          <w:sz w:val="24"/>
          <w:szCs w:val="24"/>
        </w:rPr>
        <w:t xml:space="preserve"> May 2018</w:t>
      </w:r>
      <w:r w:rsidR="00F46330">
        <w:rPr>
          <w:rFonts w:ascii="Calibri" w:hAnsi="Calibri" w:cs="Calibri"/>
          <w:sz w:val="24"/>
          <w:szCs w:val="24"/>
        </w:rPr>
        <w:t xml:space="preserve">. </w:t>
      </w:r>
      <w:r w:rsidRPr="0045199D">
        <w:rPr>
          <w:rFonts w:ascii="Calibri" w:hAnsi="Calibri" w:cs="Calibri"/>
          <w:sz w:val="24"/>
          <w:szCs w:val="24"/>
        </w:rPr>
        <w:t xml:space="preserve"> All patients</w:t>
      </w:r>
      <w:r w:rsidR="00FA5945">
        <w:rPr>
          <w:rFonts w:ascii="Calibri" w:hAnsi="Calibri" w:cs="Calibri"/>
          <w:sz w:val="24"/>
          <w:szCs w:val="24"/>
        </w:rPr>
        <w:t xml:space="preserve"> </w:t>
      </w:r>
      <w:r w:rsidR="00F662F5">
        <w:rPr>
          <w:rFonts w:ascii="Calibri" w:hAnsi="Calibri" w:cs="Calibri"/>
          <w:sz w:val="24"/>
          <w:szCs w:val="24"/>
        </w:rPr>
        <w:t>who</w:t>
      </w:r>
      <w:r w:rsidRPr="0045199D">
        <w:rPr>
          <w:rFonts w:ascii="Calibri" w:hAnsi="Calibri" w:cs="Calibri"/>
          <w:sz w:val="24"/>
          <w:szCs w:val="24"/>
        </w:rPr>
        <w:t xml:space="preserve"> do not wish to have their personal confidential data used for </w:t>
      </w:r>
      <w:r w:rsidR="00F662F5">
        <w:rPr>
          <w:rFonts w:ascii="Calibri" w:hAnsi="Calibri" w:cs="Calibri"/>
          <w:sz w:val="24"/>
          <w:szCs w:val="24"/>
        </w:rPr>
        <w:t>p</w:t>
      </w:r>
      <w:r w:rsidRPr="0045199D">
        <w:rPr>
          <w:rFonts w:ascii="Calibri" w:hAnsi="Calibri" w:cs="Calibri"/>
          <w:sz w:val="24"/>
          <w:szCs w:val="24"/>
        </w:rPr>
        <w:t xml:space="preserve">lanning or </w:t>
      </w:r>
      <w:r w:rsidR="00F662F5">
        <w:rPr>
          <w:rFonts w:ascii="Calibri" w:hAnsi="Calibri" w:cs="Calibri"/>
          <w:sz w:val="24"/>
          <w:szCs w:val="24"/>
        </w:rPr>
        <w:t>r</w:t>
      </w:r>
      <w:r w:rsidRPr="0045199D">
        <w:rPr>
          <w:rFonts w:ascii="Calibri" w:hAnsi="Calibri" w:cs="Calibri"/>
          <w:sz w:val="24"/>
          <w:szCs w:val="24"/>
        </w:rPr>
        <w:t>esearch will be excluded from these uses.</w:t>
      </w:r>
      <w:r w:rsidR="001F6A4E">
        <w:rPr>
          <w:rFonts w:ascii="Calibri" w:hAnsi="Calibri" w:cs="Calibri"/>
          <w:sz w:val="24"/>
          <w:szCs w:val="24"/>
        </w:rPr>
        <w:t xml:space="preserve"> </w:t>
      </w:r>
      <w:r w:rsidR="00F02B5E">
        <w:rPr>
          <w:rFonts w:ascii="Calibri" w:hAnsi="Calibri" w:cs="Calibri"/>
          <w:sz w:val="24"/>
          <w:szCs w:val="24"/>
        </w:rPr>
        <w:t>Patients</w:t>
      </w:r>
      <w:r w:rsidR="001F6A4E">
        <w:rPr>
          <w:rFonts w:ascii="Calibri" w:hAnsi="Calibri" w:cs="Calibri"/>
          <w:sz w:val="24"/>
          <w:szCs w:val="24"/>
        </w:rPr>
        <w:t xml:space="preserve"> </w:t>
      </w:r>
      <w:r w:rsidR="00BD60A6">
        <w:rPr>
          <w:rFonts w:ascii="Calibri" w:hAnsi="Calibri" w:cs="Calibri"/>
          <w:sz w:val="24"/>
          <w:szCs w:val="24"/>
        </w:rPr>
        <w:t xml:space="preserve">with an NDOO applied </w:t>
      </w:r>
      <w:r w:rsidR="001F6A4E">
        <w:rPr>
          <w:rFonts w:ascii="Calibri" w:hAnsi="Calibri" w:cs="Calibri"/>
          <w:sz w:val="24"/>
          <w:szCs w:val="24"/>
        </w:rPr>
        <w:t>will still</w:t>
      </w:r>
      <w:r w:rsidR="00BD60A6">
        <w:rPr>
          <w:rFonts w:ascii="Calibri" w:hAnsi="Calibri" w:cs="Calibri"/>
          <w:sz w:val="24"/>
          <w:szCs w:val="24"/>
        </w:rPr>
        <w:t xml:space="preserve"> have their data</w:t>
      </w:r>
      <w:r w:rsidR="001F6A4E">
        <w:rPr>
          <w:rFonts w:ascii="Calibri" w:hAnsi="Calibri" w:cs="Calibri"/>
          <w:sz w:val="24"/>
          <w:szCs w:val="24"/>
        </w:rPr>
        <w:t xml:space="preserve"> extracted from the GP practice</w:t>
      </w:r>
      <w:r w:rsidR="00F662F5">
        <w:rPr>
          <w:rFonts w:ascii="Calibri" w:hAnsi="Calibri" w:cs="Calibri"/>
          <w:sz w:val="24"/>
          <w:szCs w:val="24"/>
        </w:rPr>
        <w:t>, but it will not be used for planning or research purposes</w:t>
      </w:r>
      <w:r w:rsidR="00BD60A6">
        <w:rPr>
          <w:rFonts w:ascii="Calibri" w:hAnsi="Calibri" w:cs="Calibri"/>
          <w:sz w:val="24"/>
          <w:szCs w:val="24"/>
        </w:rPr>
        <w:t>.</w:t>
      </w:r>
    </w:p>
    <w:p w:rsidR="00BD60A6" w:rsidRDefault="00BD60A6" w:rsidP="00F7288C">
      <w:pPr>
        <w:spacing w:after="0" w:line="240" w:lineRule="auto"/>
        <w:jc w:val="both"/>
        <w:rPr>
          <w:rFonts w:ascii="Calibri" w:hAnsi="Calibri" w:cs="Calibri"/>
          <w:b/>
          <w:bCs/>
          <w:sz w:val="24"/>
          <w:szCs w:val="24"/>
        </w:rPr>
      </w:pPr>
    </w:p>
    <w:p w:rsidR="0019347B" w:rsidRPr="0045199D" w:rsidRDefault="0019347B" w:rsidP="00F7288C">
      <w:pPr>
        <w:spacing w:after="0" w:line="240" w:lineRule="auto"/>
        <w:jc w:val="both"/>
        <w:rPr>
          <w:rFonts w:ascii="Calibri" w:hAnsi="Calibri" w:cs="Calibri"/>
          <w:sz w:val="24"/>
          <w:szCs w:val="24"/>
        </w:rPr>
      </w:pPr>
      <w:r w:rsidRPr="0045199D">
        <w:rPr>
          <w:rFonts w:ascii="Calibri" w:hAnsi="Calibri" w:cs="Calibri"/>
          <w:sz w:val="24"/>
          <w:szCs w:val="24"/>
        </w:rPr>
        <w:t xml:space="preserve">NHS Digital collect personal confidential data from </w:t>
      </w:r>
      <w:r w:rsidR="001F6A4E">
        <w:rPr>
          <w:rFonts w:ascii="Calibri" w:hAnsi="Calibri" w:cs="Calibri"/>
          <w:sz w:val="24"/>
          <w:szCs w:val="24"/>
        </w:rPr>
        <w:t xml:space="preserve">GP practices and secondary care </w:t>
      </w:r>
      <w:r w:rsidRPr="0045199D">
        <w:rPr>
          <w:rFonts w:ascii="Calibri" w:hAnsi="Calibri" w:cs="Calibri"/>
          <w:sz w:val="24"/>
          <w:szCs w:val="24"/>
        </w:rPr>
        <w:t>providers to instruct planning and research.</w:t>
      </w:r>
      <w:r w:rsidR="001F6A4E">
        <w:rPr>
          <w:rFonts w:ascii="Calibri" w:hAnsi="Calibri" w:cs="Calibri"/>
          <w:sz w:val="24"/>
          <w:szCs w:val="24"/>
        </w:rPr>
        <w:t xml:space="preserve"> All data collected is pseudonymised before sharing with </w:t>
      </w:r>
      <w:r w:rsidR="00F662F5">
        <w:rPr>
          <w:rFonts w:ascii="Calibri" w:hAnsi="Calibri" w:cs="Calibri"/>
          <w:sz w:val="24"/>
          <w:szCs w:val="24"/>
        </w:rPr>
        <w:t>ICBs</w:t>
      </w:r>
      <w:r w:rsidR="001F6A4E">
        <w:rPr>
          <w:rFonts w:ascii="Calibri" w:hAnsi="Calibri" w:cs="Calibri"/>
          <w:sz w:val="24"/>
          <w:szCs w:val="24"/>
        </w:rPr>
        <w:t xml:space="preserve"> or other organisations</w:t>
      </w:r>
    </w:p>
    <w:p w:rsidR="00F46330" w:rsidRPr="00F46330" w:rsidRDefault="0000441F" w:rsidP="007A2EFF">
      <w:pPr>
        <w:pStyle w:val="Heading1"/>
        <w:numPr>
          <w:ilvl w:val="0"/>
          <w:numId w:val="12"/>
        </w:numPr>
      </w:pPr>
      <w:bookmarkStart w:id="3" w:name="_4._Exemptions_to"/>
      <w:bookmarkStart w:id="4" w:name="_Toc99613151"/>
      <w:bookmarkEnd w:id="3"/>
      <w:r w:rsidRPr="00F46330">
        <w:t>Exemptions to Opt</w:t>
      </w:r>
      <w:r w:rsidR="007E55B1">
        <w:t>-</w:t>
      </w:r>
      <w:r w:rsidRPr="00F46330">
        <w:t>Out</w:t>
      </w:r>
      <w:bookmarkEnd w:id="4"/>
      <w:r w:rsidRPr="00F46330">
        <w:t xml:space="preserve">  </w:t>
      </w:r>
    </w:p>
    <w:p w:rsidR="0000441F" w:rsidRPr="00A91351" w:rsidRDefault="0000441F" w:rsidP="0045199D">
      <w:pPr>
        <w:jc w:val="both"/>
        <w:rPr>
          <w:sz w:val="24"/>
          <w:szCs w:val="24"/>
        </w:rPr>
      </w:pPr>
      <w:r w:rsidRPr="00A91351">
        <w:rPr>
          <w:rFonts w:ascii="Calibri" w:eastAsiaTheme="majorEastAsia" w:hAnsi="Calibri" w:cstheme="majorBidi"/>
          <w:sz w:val="24"/>
          <w:szCs w:val="24"/>
        </w:rPr>
        <w:t xml:space="preserve">There are exemptions to patients opting out of having their personal confidential data used for </w:t>
      </w:r>
      <w:r w:rsidR="00F662F5">
        <w:rPr>
          <w:rFonts w:ascii="Calibri" w:eastAsiaTheme="majorEastAsia" w:hAnsi="Calibri" w:cstheme="majorBidi"/>
          <w:sz w:val="24"/>
          <w:szCs w:val="24"/>
        </w:rPr>
        <w:t>p</w:t>
      </w:r>
      <w:r w:rsidRPr="00A91351">
        <w:rPr>
          <w:rFonts w:ascii="Calibri" w:eastAsiaTheme="majorEastAsia" w:hAnsi="Calibri" w:cstheme="majorBidi"/>
          <w:sz w:val="24"/>
          <w:szCs w:val="24"/>
        </w:rPr>
        <w:t xml:space="preserve">lanning, </w:t>
      </w:r>
      <w:r w:rsidR="00F662F5">
        <w:rPr>
          <w:rFonts w:ascii="Calibri" w:eastAsiaTheme="majorEastAsia" w:hAnsi="Calibri" w:cstheme="majorBidi"/>
          <w:sz w:val="24"/>
          <w:szCs w:val="24"/>
        </w:rPr>
        <w:t>r</w:t>
      </w:r>
      <w:r w:rsidRPr="00A91351">
        <w:rPr>
          <w:rFonts w:ascii="Calibri" w:eastAsiaTheme="majorEastAsia" w:hAnsi="Calibri" w:cstheme="majorBidi"/>
          <w:sz w:val="24"/>
          <w:szCs w:val="24"/>
        </w:rPr>
        <w:t>esearch or other secondary uses</w:t>
      </w:r>
      <w:r w:rsidR="00F662F5">
        <w:rPr>
          <w:rFonts w:ascii="Calibri" w:eastAsiaTheme="majorEastAsia" w:hAnsi="Calibri" w:cstheme="majorBidi"/>
          <w:sz w:val="24"/>
          <w:szCs w:val="24"/>
        </w:rPr>
        <w:t xml:space="preserve"> as follows:</w:t>
      </w:r>
    </w:p>
    <w:p w:rsidR="006978FF" w:rsidRPr="00D436F3" w:rsidRDefault="006978FF" w:rsidP="007A2EFF">
      <w:pPr>
        <w:pStyle w:val="ListParagraph"/>
        <w:numPr>
          <w:ilvl w:val="0"/>
          <w:numId w:val="5"/>
        </w:numPr>
        <w:spacing w:after="0" w:line="240" w:lineRule="auto"/>
        <w:ind w:left="1134" w:hanging="284"/>
        <w:contextualSpacing w:val="0"/>
        <w:rPr>
          <w:rFonts w:ascii="Calibri" w:hAnsi="Calibri" w:cs="Calibri"/>
          <w:sz w:val="24"/>
          <w:szCs w:val="24"/>
        </w:rPr>
      </w:pPr>
      <w:r w:rsidRPr="00D436F3">
        <w:rPr>
          <w:rFonts w:ascii="Calibri" w:hAnsi="Calibri" w:cs="Calibri"/>
          <w:sz w:val="24"/>
          <w:szCs w:val="24"/>
        </w:rPr>
        <w:t>It</w:t>
      </w:r>
      <w:r w:rsidR="00366856" w:rsidRPr="00D436F3">
        <w:rPr>
          <w:rFonts w:ascii="Calibri" w:hAnsi="Calibri" w:cs="Calibri"/>
          <w:sz w:val="24"/>
          <w:szCs w:val="24"/>
        </w:rPr>
        <w:t xml:space="preserve"> </w:t>
      </w:r>
      <w:r w:rsidR="00366856" w:rsidRPr="00D436F3">
        <w:rPr>
          <w:rFonts w:ascii="Calibri" w:hAnsi="Calibri" w:cs="Calibri"/>
          <w:b/>
          <w:sz w:val="24"/>
          <w:szCs w:val="24"/>
        </w:rPr>
        <w:t xml:space="preserve">does not apply </w:t>
      </w:r>
      <w:r w:rsidR="00366856" w:rsidRPr="00D436F3">
        <w:rPr>
          <w:rFonts w:ascii="Calibri" w:hAnsi="Calibri" w:cs="Calibri"/>
          <w:sz w:val="24"/>
          <w:szCs w:val="24"/>
        </w:rPr>
        <w:t>where information is being used or shared fo</w:t>
      </w:r>
      <w:r w:rsidR="00F62DDE" w:rsidRPr="00D436F3">
        <w:rPr>
          <w:rFonts w:ascii="Calibri" w:hAnsi="Calibri" w:cs="Calibri"/>
          <w:sz w:val="24"/>
          <w:szCs w:val="24"/>
        </w:rPr>
        <w:t xml:space="preserve">r an individual patient's </w:t>
      </w:r>
      <w:proofErr w:type="gramStart"/>
      <w:r w:rsidR="00F62DDE" w:rsidRPr="00D436F3">
        <w:rPr>
          <w:rFonts w:ascii="Calibri" w:hAnsi="Calibri" w:cs="Calibri"/>
          <w:sz w:val="24"/>
          <w:szCs w:val="24"/>
        </w:rPr>
        <w:t>care</w:t>
      </w:r>
      <w:r w:rsidR="00D436F3" w:rsidRPr="00D436F3">
        <w:rPr>
          <w:rFonts w:ascii="Calibri" w:hAnsi="Calibri" w:cs="Calibri"/>
          <w:sz w:val="24"/>
          <w:szCs w:val="24"/>
        </w:rPr>
        <w:t>;</w:t>
      </w:r>
      <w:proofErr w:type="gramEnd"/>
    </w:p>
    <w:p w:rsidR="003C47CE" w:rsidRPr="00D436F3" w:rsidRDefault="006978FF" w:rsidP="007A2EFF">
      <w:pPr>
        <w:pStyle w:val="ListParagraph"/>
        <w:numPr>
          <w:ilvl w:val="0"/>
          <w:numId w:val="5"/>
        </w:numPr>
        <w:spacing w:after="0" w:line="240" w:lineRule="auto"/>
        <w:ind w:left="1134" w:hanging="284"/>
        <w:contextualSpacing w:val="0"/>
        <w:rPr>
          <w:rFonts w:ascii="Calibri" w:hAnsi="Calibri" w:cs="Calibri"/>
          <w:sz w:val="24"/>
          <w:szCs w:val="24"/>
        </w:rPr>
      </w:pPr>
      <w:r w:rsidRPr="00D436F3">
        <w:rPr>
          <w:rFonts w:ascii="Calibri" w:hAnsi="Calibri" w:cs="Calibri"/>
          <w:sz w:val="24"/>
          <w:szCs w:val="24"/>
        </w:rPr>
        <w:t>It</w:t>
      </w:r>
      <w:r w:rsidR="00366856" w:rsidRPr="00D436F3">
        <w:rPr>
          <w:rFonts w:ascii="Calibri" w:hAnsi="Calibri" w:cs="Calibri"/>
          <w:sz w:val="24"/>
          <w:szCs w:val="24"/>
        </w:rPr>
        <w:t xml:space="preserve"> </w:t>
      </w:r>
      <w:r w:rsidR="00366856" w:rsidRPr="00D436F3">
        <w:rPr>
          <w:rFonts w:ascii="Calibri" w:hAnsi="Calibri" w:cs="Calibri"/>
          <w:b/>
          <w:sz w:val="24"/>
          <w:szCs w:val="24"/>
        </w:rPr>
        <w:t>does not apply</w:t>
      </w:r>
      <w:r w:rsidR="00366856" w:rsidRPr="00D436F3">
        <w:rPr>
          <w:rFonts w:ascii="Calibri" w:hAnsi="Calibri" w:cs="Calibri"/>
          <w:sz w:val="24"/>
          <w:szCs w:val="24"/>
        </w:rPr>
        <w:t xml:space="preserve"> to information that is anonymised in line with the Information Commissioner’s Office (ICO) Code of Practice (CoP) on Anonymisation or </w:t>
      </w:r>
      <w:r w:rsidR="00F62DDE" w:rsidRPr="00D436F3">
        <w:rPr>
          <w:rFonts w:ascii="Calibri" w:hAnsi="Calibri" w:cs="Calibri"/>
          <w:sz w:val="24"/>
          <w:szCs w:val="24"/>
        </w:rPr>
        <w:t>is aggregate or count type data</w:t>
      </w:r>
    </w:p>
    <w:p w:rsidR="00366856" w:rsidRDefault="006978FF" w:rsidP="007A2EFF">
      <w:pPr>
        <w:pStyle w:val="ListParagraph"/>
        <w:numPr>
          <w:ilvl w:val="0"/>
          <w:numId w:val="5"/>
        </w:numPr>
        <w:spacing w:after="0" w:line="240" w:lineRule="auto"/>
        <w:ind w:left="1134" w:hanging="284"/>
        <w:contextualSpacing w:val="0"/>
        <w:rPr>
          <w:rFonts w:ascii="Calibri" w:hAnsi="Calibri" w:cs="Calibri"/>
          <w:sz w:val="24"/>
          <w:szCs w:val="24"/>
        </w:rPr>
      </w:pPr>
      <w:r w:rsidRPr="00D436F3">
        <w:rPr>
          <w:rFonts w:ascii="Calibri" w:hAnsi="Calibri" w:cs="Calibri"/>
          <w:sz w:val="24"/>
          <w:szCs w:val="24"/>
        </w:rPr>
        <w:t xml:space="preserve">It </w:t>
      </w:r>
      <w:r w:rsidRPr="00D436F3">
        <w:rPr>
          <w:rFonts w:ascii="Calibri" w:hAnsi="Calibri" w:cs="Calibri"/>
          <w:b/>
          <w:sz w:val="24"/>
          <w:szCs w:val="24"/>
        </w:rPr>
        <w:t>does not apply</w:t>
      </w:r>
      <w:r w:rsidRPr="00D436F3">
        <w:rPr>
          <w:rFonts w:ascii="Calibri" w:hAnsi="Calibri" w:cs="Calibri"/>
          <w:sz w:val="24"/>
          <w:szCs w:val="24"/>
        </w:rPr>
        <w:t xml:space="preserve"> when there is a legal requirement to disclose information that sets aside the common law duty of confidentiality</w:t>
      </w:r>
      <w:r w:rsidR="00BD60A6">
        <w:rPr>
          <w:rFonts w:ascii="Calibri" w:hAnsi="Calibri" w:cs="Calibri"/>
          <w:sz w:val="24"/>
          <w:szCs w:val="24"/>
        </w:rPr>
        <w:t>, for example Section 251,</w:t>
      </w:r>
      <w:r w:rsidR="00F62DDE" w:rsidRPr="00D436F3">
        <w:rPr>
          <w:rFonts w:ascii="Calibri" w:hAnsi="Calibri" w:cs="Calibri"/>
          <w:sz w:val="24"/>
          <w:szCs w:val="24"/>
        </w:rPr>
        <w:t xml:space="preserve"> but you will </w:t>
      </w:r>
      <w:r w:rsidR="003C47CE" w:rsidRPr="00D436F3">
        <w:rPr>
          <w:rFonts w:ascii="Calibri" w:hAnsi="Calibri" w:cs="Calibri"/>
          <w:sz w:val="24"/>
          <w:szCs w:val="24"/>
        </w:rPr>
        <w:t xml:space="preserve">still </w:t>
      </w:r>
      <w:r w:rsidR="00F62DDE" w:rsidRPr="00D436F3">
        <w:rPr>
          <w:rFonts w:ascii="Calibri" w:hAnsi="Calibri" w:cs="Calibri"/>
          <w:sz w:val="24"/>
          <w:szCs w:val="24"/>
        </w:rPr>
        <w:t>need to determine how the common law duty of confidentiality is being met</w:t>
      </w:r>
      <w:r w:rsidR="00C71987">
        <w:rPr>
          <w:rFonts w:ascii="Calibri" w:hAnsi="Calibri" w:cs="Calibri"/>
          <w:sz w:val="24"/>
          <w:szCs w:val="24"/>
        </w:rPr>
        <w:t xml:space="preserve">. Likewise, it </w:t>
      </w:r>
      <w:r w:rsidR="00C71987">
        <w:rPr>
          <w:rFonts w:ascii="Calibri" w:hAnsi="Calibri" w:cs="Calibri"/>
          <w:b/>
          <w:bCs/>
          <w:sz w:val="24"/>
          <w:szCs w:val="24"/>
        </w:rPr>
        <w:t xml:space="preserve">does not apply </w:t>
      </w:r>
      <w:r w:rsidR="00C71987">
        <w:rPr>
          <w:rFonts w:ascii="Calibri" w:hAnsi="Calibri" w:cs="Calibri"/>
          <w:sz w:val="24"/>
          <w:szCs w:val="24"/>
        </w:rPr>
        <w:t xml:space="preserve">for information required by law or a court </w:t>
      </w:r>
      <w:proofErr w:type="gramStart"/>
      <w:r w:rsidR="00C71987">
        <w:rPr>
          <w:rFonts w:ascii="Calibri" w:hAnsi="Calibri" w:cs="Calibri"/>
          <w:sz w:val="24"/>
          <w:szCs w:val="24"/>
        </w:rPr>
        <w:t>order;</w:t>
      </w:r>
      <w:proofErr w:type="gramEnd"/>
    </w:p>
    <w:p w:rsidR="00C71987" w:rsidRPr="00D436F3" w:rsidRDefault="00C71987" w:rsidP="007A2EFF">
      <w:pPr>
        <w:pStyle w:val="ListParagraph"/>
        <w:numPr>
          <w:ilvl w:val="0"/>
          <w:numId w:val="5"/>
        </w:numPr>
        <w:spacing w:after="0" w:line="240" w:lineRule="auto"/>
        <w:ind w:left="1134" w:hanging="284"/>
        <w:contextualSpacing w:val="0"/>
        <w:rPr>
          <w:rFonts w:ascii="Calibri" w:hAnsi="Calibri" w:cs="Calibri"/>
          <w:sz w:val="24"/>
          <w:szCs w:val="24"/>
        </w:rPr>
      </w:pPr>
      <w:r>
        <w:rPr>
          <w:rFonts w:ascii="Calibri" w:hAnsi="Calibri" w:cs="Calibri"/>
          <w:sz w:val="24"/>
          <w:szCs w:val="24"/>
        </w:rPr>
        <w:t xml:space="preserve">It </w:t>
      </w:r>
      <w:r w:rsidRPr="00FA5945">
        <w:rPr>
          <w:rFonts w:ascii="Calibri" w:hAnsi="Calibri" w:cs="Calibri"/>
          <w:b/>
          <w:bCs/>
          <w:sz w:val="24"/>
          <w:szCs w:val="24"/>
        </w:rPr>
        <w:t>does not apply</w:t>
      </w:r>
      <w:r w:rsidRPr="0017533B">
        <w:rPr>
          <w:rFonts w:ascii="Calibri" w:hAnsi="Calibri" w:cs="Calibri"/>
          <w:sz w:val="24"/>
          <w:szCs w:val="24"/>
        </w:rPr>
        <w:t xml:space="preserve"> to mandatory data collections with CAG </w:t>
      </w:r>
      <w:proofErr w:type="gramStart"/>
      <w:r w:rsidRPr="0017533B">
        <w:rPr>
          <w:rFonts w:ascii="Calibri" w:hAnsi="Calibri" w:cs="Calibri"/>
          <w:sz w:val="24"/>
          <w:szCs w:val="24"/>
        </w:rPr>
        <w:t>approval</w:t>
      </w:r>
      <w:r>
        <w:rPr>
          <w:rFonts w:ascii="Calibri" w:hAnsi="Calibri" w:cs="Calibri"/>
          <w:sz w:val="24"/>
          <w:szCs w:val="24"/>
        </w:rPr>
        <w:t>;</w:t>
      </w:r>
      <w:proofErr w:type="gramEnd"/>
    </w:p>
    <w:p w:rsidR="00366856" w:rsidRPr="00D436F3" w:rsidRDefault="006978FF" w:rsidP="007A2EFF">
      <w:pPr>
        <w:pStyle w:val="ListParagraph"/>
        <w:numPr>
          <w:ilvl w:val="0"/>
          <w:numId w:val="5"/>
        </w:numPr>
        <w:spacing w:after="0" w:line="240" w:lineRule="auto"/>
        <w:ind w:left="1134" w:hanging="284"/>
        <w:contextualSpacing w:val="0"/>
        <w:rPr>
          <w:rFonts w:ascii="Calibri" w:hAnsi="Calibri" w:cs="Calibri"/>
          <w:sz w:val="24"/>
          <w:szCs w:val="24"/>
        </w:rPr>
      </w:pPr>
      <w:r w:rsidRPr="00D436F3">
        <w:rPr>
          <w:rFonts w:ascii="Calibri" w:hAnsi="Calibri" w:cs="Calibri"/>
          <w:sz w:val="24"/>
          <w:szCs w:val="24"/>
        </w:rPr>
        <w:t xml:space="preserve">It </w:t>
      </w:r>
      <w:r w:rsidRPr="00D436F3">
        <w:rPr>
          <w:rFonts w:ascii="Calibri" w:hAnsi="Calibri" w:cs="Calibri"/>
          <w:b/>
          <w:sz w:val="24"/>
          <w:szCs w:val="24"/>
        </w:rPr>
        <w:t>does not apply</w:t>
      </w:r>
      <w:r w:rsidRPr="00D436F3">
        <w:rPr>
          <w:rFonts w:ascii="Calibri" w:hAnsi="Calibri" w:cs="Calibri"/>
          <w:sz w:val="24"/>
          <w:szCs w:val="24"/>
        </w:rPr>
        <w:t xml:space="preserve"> i</w:t>
      </w:r>
      <w:r w:rsidR="00366856" w:rsidRPr="00D436F3">
        <w:rPr>
          <w:rFonts w:ascii="Calibri" w:hAnsi="Calibri" w:cs="Calibri"/>
          <w:sz w:val="24"/>
          <w:szCs w:val="24"/>
        </w:rPr>
        <w:t>f a patient has agreed to a specific use of data</w:t>
      </w:r>
      <w:r w:rsidR="00F662F5">
        <w:rPr>
          <w:rFonts w:ascii="Calibri" w:hAnsi="Calibri" w:cs="Calibri"/>
          <w:sz w:val="24"/>
          <w:szCs w:val="24"/>
        </w:rPr>
        <w:t>. I.e.,</w:t>
      </w:r>
      <w:r w:rsidR="003C47CE" w:rsidRPr="00D436F3">
        <w:rPr>
          <w:rFonts w:ascii="Calibri" w:hAnsi="Calibri" w:cs="Calibri"/>
          <w:sz w:val="24"/>
          <w:szCs w:val="24"/>
        </w:rPr>
        <w:t xml:space="preserve"> p</w:t>
      </w:r>
      <w:r w:rsidR="00366856" w:rsidRPr="00D436F3">
        <w:rPr>
          <w:rFonts w:ascii="Calibri" w:hAnsi="Calibri" w:cs="Calibri"/>
          <w:sz w:val="24"/>
          <w:szCs w:val="24"/>
        </w:rPr>
        <w:t>atients who have registered a national data opt-out can</w:t>
      </w:r>
      <w:r w:rsidR="00F662F5">
        <w:rPr>
          <w:rFonts w:ascii="Calibri" w:hAnsi="Calibri" w:cs="Calibri"/>
          <w:sz w:val="24"/>
          <w:szCs w:val="24"/>
        </w:rPr>
        <w:t xml:space="preserve"> still</w:t>
      </w:r>
      <w:r w:rsidR="00366856" w:rsidRPr="00D436F3">
        <w:rPr>
          <w:rFonts w:ascii="Calibri" w:hAnsi="Calibri" w:cs="Calibri"/>
          <w:sz w:val="24"/>
          <w:szCs w:val="24"/>
        </w:rPr>
        <w:t xml:space="preserve"> agree to take part in a specific research project or clinical trial by giving their explicit </w:t>
      </w:r>
      <w:proofErr w:type="gramStart"/>
      <w:r w:rsidR="00366856" w:rsidRPr="00D436F3">
        <w:rPr>
          <w:rFonts w:ascii="Calibri" w:hAnsi="Calibri" w:cs="Calibri"/>
          <w:sz w:val="24"/>
          <w:szCs w:val="24"/>
        </w:rPr>
        <w:t>consent</w:t>
      </w:r>
      <w:r w:rsidR="00D436F3" w:rsidRPr="00D436F3">
        <w:rPr>
          <w:rFonts w:ascii="Calibri" w:hAnsi="Calibri" w:cs="Calibri"/>
          <w:sz w:val="24"/>
          <w:szCs w:val="24"/>
        </w:rPr>
        <w:t>;</w:t>
      </w:r>
      <w:proofErr w:type="gramEnd"/>
    </w:p>
    <w:p w:rsidR="00366856" w:rsidRPr="00D436F3" w:rsidRDefault="006978FF" w:rsidP="007A2EFF">
      <w:pPr>
        <w:pStyle w:val="ListParagraph"/>
        <w:numPr>
          <w:ilvl w:val="0"/>
          <w:numId w:val="5"/>
        </w:numPr>
        <w:spacing w:after="0" w:line="240" w:lineRule="auto"/>
        <w:ind w:left="1134" w:hanging="284"/>
        <w:contextualSpacing w:val="0"/>
        <w:rPr>
          <w:rFonts w:ascii="Calibri" w:hAnsi="Calibri" w:cs="Calibri"/>
          <w:sz w:val="24"/>
          <w:szCs w:val="24"/>
        </w:rPr>
      </w:pPr>
      <w:r w:rsidRPr="00D436F3">
        <w:rPr>
          <w:rFonts w:ascii="Calibri" w:hAnsi="Calibri" w:cs="Calibri"/>
          <w:sz w:val="24"/>
          <w:szCs w:val="24"/>
        </w:rPr>
        <w:t>It</w:t>
      </w:r>
      <w:r w:rsidR="00366856" w:rsidRPr="00D436F3">
        <w:rPr>
          <w:rFonts w:ascii="Calibri" w:hAnsi="Calibri" w:cs="Calibri"/>
          <w:sz w:val="24"/>
          <w:szCs w:val="24"/>
        </w:rPr>
        <w:t xml:space="preserve"> </w:t>
      </w:r>
      <w:r w:rsidR="00366856" w:rsidRPr="00D436F3">
        <w:rPr>
          <w:rFonts w:ascii="Calibri" w:hAnsi="Calibri" w:cs="Calibri"/>
          <w:b/>
          <w:sz w:val="24"/>
          <w:szCs w:val="24"/>
        </w:rPr>
        <w:t>does not apply</w:t>
      </w:r>
      <w:r w:rsidR="00366856" w:rsidRPr="00D436F3">
        <w:rPr>
          <w:rFonts w:ascii="Calibri" w:hAnsi="Calibri" w:cs="Calibri"/>
          <w:sz w:val="24"/>
          <w:szCs w:val="24"/>
        </w:rPr>
        <w:t xml:space="preserve"> </w:t>
      </w:r>
      <w:r w:rsidRPr="00D436F3">
        <w:rPr>
          <w:rFonts w:ascii="Calibri" w:hAnsi="Calibri" w:cs="Calibri"/>
          <w:sz w:val="24"/>
          <w:szCs w:val="24"/>
        </w:rPr>
        <w:t>if</w:t>
      </w:r>
      <w:r w:rsidR="00366856" w:rsidRPr="00D436F3">
        <w:rPr>
          <w:rFonts w:ascii="Calibri" w:hAnsi="Calibri" w:cs="Calibri"/>
          <w:sz w:val="24"/>
          <w:szCs w:val="24"/>
        </w:rPr>
        <w:t xml:space="preserve"> disclosure is being used to protect public health, for example to:</w:t>
      </w:r>
    </w:p>
    <w:p w:rsidR="00366856" w:rsidRPr="00D436F3" w:rsidRDefault="00366856" w:rsidP="007A2EFF">
      <w:pPr>
        <w:pStyle w:val="ListParagraph"/>
        <w:numPr>
          <w:ilvl w:val="1"/>
          <w:numId w:val="5"/>
        </w:numPr>
        <w:spacing w:after="0" w:line="240" w:lineRule="auto"/>
        <w:ind w:left="1701" w:hanging="284"/>
        <w:contextualSpacing w:val="0"/>
        <w:rPr>
          <w:rFonts w:ascii="Calibri" w:hAnsi="Calibri" w:cs="Calibri"/>
          <w:sz w:val="24"/>
          <w:szCs w:val="24"/>
        </w:rPr>
      </w:pPr>
      <w:r w:rsidRPr="00D436F3">
        <w:rPr>
          <w:rFonts w:ascii="Calibri" w:hAnsi="Calibri" w:cs="Calibri"/>
          <w:sz w:val="24"/>
          <w:szCs w:val="24"/>
        </w:rPr>
        <w:t>diagnose communicable diseases</w:t>
      </w:r>
    </w:p>
    <w:p w:rsidR="00366856" w:rsidRPr="00D436F3" w:rsidRDefault="00366856" w:rsidP="007A2EFF">
      <w:pPr>
        <w:pStyle w:val="ListParagraph"/>
        <w:numPr>
          <w:ilvl w:val="1"/>
          <w:numId w:val="5"/>
        </w:numPr>
        <w:spacing w:after="0" w:line="240" w:lineRule="auto"/>
        <w:ind w:left="1701" w:hanging="284"/>
        <w:contextualSpacing w:val="0"/>
        <w:rPr>
          <w:rFonts w:ascii="Calibri" w:hAnsi="Calibri" w:cs="Calibri"/>
          <w:sz w:val="24"/>
          <w:szCs w:val="24"/>
        </w:rPr>
      </w:pPr>
      <w:r w:rsidRPr="00D436F3">
        <w:rPr>
          <w:rFonts w:ascii="Calibri" w:hAnsi="Calibri" w:cs="Calibri"/>
          <w:sz w:val="24"/>
          <w:szCs w:val="24"/>
        </w:rPr>
        <w:t>control or prevent their spread</w:t>
      </w:r>
    </w:p>
    <w:p w:rsidR="00366856" w:rsidRPr="00D436F3" w:rsidRDefault="00366856" w:rsidP="007A2EFF">
      <w:pPr>
        <w:pStyle w:val="ListParagraph"/>
        <w:numPr>
          <w:ilvl w:val="1"/>
          <w:numId w:val="5"/>
        </w:numPr>
        <w:spacing w:after="0" w:line="240" w:lineRule="auto"/>
        <w:ind w:left="1701" w:hanging="284"/>
        <w:contextualSpacing w:val="0"/>
        <w:rPr>
          <w:rFonts w:ascii="Calibri" w:hAnsi="Calibri" w:cs="Calibri"/>
          <w:sz w:val="24"/>
          <w:szCs w:val="24"/>
        </w:rPr>
      </w:pPr>
      <w:r w:rsidRPr="00D436F3">
        <w:rPr>
          <w:rFonts w:ascii="Calibri" w:hAnsi="Calibri" w:cs="Calibri"/>
          <w:sz w:val="24"/>
          <w:szCs w:val="24"/>
        </w:rPr>
        <w:t>deliver and monitor vaccination programmes</w:t>
      </w:r>
    </w:p>
    <w:p w:rsidR="00366856" w:rsidRPr="00D436F3" w:rsidRDefault="00366856" w:rsidP="007A2EFF">
      <w:pPr>
        <w:pStyle w:val="ListParagraph"/>
        <w:numPr>
          <w:ilvl w:val="1"/>
          <w:numId w:val="5"/>
        </w:numPr>
        <w:spacing w:after="0" w:line="240" w:lineRule="auto"/>
        <w:ind w:left="1701" w:hanging="284"/>
        <w:contextualSpacing w:val="0"/>
        <w:rPr>
          <w:rFonts w:ascii="Calibri" w:hAnsi="Calibri" w:cs="Calibri"/>
          <w:sz w:val="24"/>
          <w:szCs w:val="24"/>
        </w:rPr>
      </w:pPr>
      <w:r w:rsidRPr="00D436F3">
        <w:rPr>
          <w:rFonts w:ascii="Calibri" w:hAnsi="Calibri" w:cs="Calibri"/>
          <w:sz w:val="24"/>
          <w:szCs w:val="24"/>
        </w:rPr>
        <w:t>manage risks of infection from food or water supplies or the environment</w:t>
      </w:r>
    </w:p>
    <w:p w:rsidR="00C71987" w:rsidRDefault="00C71987" w:rsidP="007A2EFF">
      <w:pPr>
        <w:pStyle w:val="ListParagraph"/>
        <w:numPr>
          <w:ilvl w:val="0"/>
          <w:numId w:val="5"/>
        </w:numPr>
        <w:spacing w:after="0" w:line="240" w:lineRule="auto"/>
        <w:ind w:left="1134" w:hanging="284"/>
        <w:contextualSpacing w:val="0"/>
        <w:rPr>
          <w:rFonts w:ascii="Calibri" w:hAnsi="Calibri" w:cs="Calibri"/>
          <w:sz w:val="24"/>
          <w:szCs w:val="24"/>
          <w:lang w:val="en"/>
        </w:rPr>
      </w:pPr>
      <w:r>
        <w:rPr>
          <w:rFonts w:ascii="Calibri" w:hAnsi="Calibri" w:cs="Calibri"/>
          <w:sz w:val="24"/>
          <w:szCs w:val="24"/>
          <w:lang w:val="en"/>
        </w:rPr>
        <w:t xml:space="preserve">It </w:t>
      </w:r>
      <w:r>
        <w:rPr>
          <w:rFonts w:ascii="Calibri" w:hAnsi="Calibri" w:cs="Calibri"/>
          <w:b/>
          <w:bCs/>
          <w:sz w:val="24"/>
          <w:szCs w:val="24"/>
          <w:lang w:val="en"/>
        </w:rPr>
        <w:t xml:space="preserve">does not apply </w:t>
      </w:r>
      <w:r>
        <w:rPr>
          <w:rFonts w:ascii="Calibri" w:hAnsi="Calibri" w:cs="Calibri"/>
          <w:sz w:val="24"/>
          <w:szCs w:val="24"/>
          <w:lang w:val="en"/>
        </w:rPr>
        <w:t>where there is an overriding public interest such as reporting of patients’ fitness to drive</w:t>
      </w:r>
    </w:p>
    <w:p w:rsidR="003C47CE" w:rsidRPr="00D436F3" w:rsidRDefault="003C47CE" w:rsidP="007A2EFF">
      <w:pPr>
        <w:pStyle w:val="ListParagraph"/>
        <w:numPr>
          <w:ilvl w:val="0"/>
          <w:numId w:val="5"/>
        </w:numPr>
        <w:spacing w:after="0" w:line="240" w:lineRule="auto"/>
        <w:ind w:left="1134" w:hanging="284"/>
        <w:contextualSpacing w:val="0"/>
        <w:rPr>
          <w:rFonts w:ascii="Calibri" w:hAnsi="Calibri" w:cs="Calibri"/>
          <w:sz w:val="24"/>
          <w:szCs w:val="24"/>
          <w:lang w:val="en"/>
        </w:rPr>
      </w:pPr>
      <w:r w:rsidRPr="00D436F3">
        <w:rPr>
          <w:rFonts w:ascii="Calibri" w:hAnsi="Calibri" w:cs="Calibri"/>
          <w:sz w:val="24"/>
          <w:szCs w:val="24"/>
          <w:lang w:val="en"/>
        </w:rPr>
        <w:t xml:space="preserve">It </w:t>
      </w:r>
      <w:r w:rsidRPr="00D436F3">
        <w:rPr>
          <w:rFonts w:ascii="Calibri" w:hAnsi="Calibri" w:cs="Calibri"/>
          <w:b/>
          <w:sz w:val="24"/>
          <w:szCs w:val="24"/>
          <w:lang w:val="en"/>
        </w:rPr>
        <w:t>does not apply</w:t>
      </w:r>
      <w:r w:rsidRPr="00D436F3">
        <w:rPr>
          <w:rFonts w:ascii="Calibri" w:hAnsi="Calibri" w:cs="Calibri"/>
          <w:sz w:val="24"/>
          <w:szCs w:val="24"/>
          <w:lang w:val="en"/>
        </w:rPr>
        <w:t xml:space="preserve"> to the National Cancer Patient Experience Survey (CPES) and CQC NHS Patient Survey </w:t>
      </w:r>
      <w:proofErr w:type="gramStart"/>
      <w:r w:rsidRPr="00D436F3">
        <w:rPr>
          <w:rFonts w:ascii="Calibri" w:hAnsi="Calibri" w:cs="Calibri"/>
          <w:sz w:val="24"/>
          <w:szCs w:val="24"/>
          <w:lang w:val="en"/>
        </w:rPr>
        <w:t>Programme</w:t>
      </w:r>
      <w:r w:rsidR="00D436F3" w:rsidRPr="00D436F3">
        <w:rPr>
          <w:rFonts w:ascii="Calibri" w:hAnsi="Calibri" w:cs="Calibri"/>
          <w:sz w:val="24"/>
          <w:szCs w:val="24"/>
          <w:lang w:val="en"/>
        </w:rPr>
        <w:t>;</w:t>
      </w:r>
      <w:proofErr w:type="gramEnd"/>
    </w:p>
    <w:p w:rsidR="003C47CE" w:rsidRPr="00FA5945" w:rsidRDefault="003C47CE" w:rsidP="007A2EFF">
      <w:pPr>
        <w:pStyle w:val="ListParagraph"/>
        <w:numPr>
          <w:ilvl w:val="0"/>
          <w:numId w:val="5"/>
        </w:numPr>
        <w:spacing w:after="0" w:line="240" w:lineRule="auto"/>
        <w:ind w:left="1134" w:hanging="284"/>
        <w:contextualSpacing w:val="0"/>
        <w:rPr>
          <w:rFonts w:ascii="Calibri" w:hAnsi="Calibri" w:cs="Calibri"/>
          <w:sz w:val="24"/>
          <w:szCs w:val="24"/>
          <w:lang w:val="en"/>
        </w:rPr>
      </w:pPr>
      <w:r w:rsidRPr="00D436F3">
        <w:rPr>
          <w:rFonts w:ascii="Calibri" w:hAnsi="Calibri" w:cs="Calibri"/>
          <w:sz w:val="24"/>
          <w:szCs w:val="24"/>
        </w:rPr>
        <w:t xml:space="preserve">It </w:t>
      </w:r>
      <w:r w:rsidRPr="00D436F3">
        <w:rPr>
          <w:rFonts w:ascii="Calibri" w:hAnsi="Calibri" w:cs="Calibri"/>
          <w:b/>
          <w:sz w:val="24"/>
          <w:szCs w:val="24"/>
        </w:rPr>
        <w:t>does not apply</w:t>
      </w:r>
      <w:r w:rsidRPr="00D436F3">
        <w:rPr>
          <w:rFonts w:ascii="Calibri" w:hAnsi="Calibri" w:cs="Calibri"/>
          <w:sz w:val="24"/>
          <w:szCs w:val="24"/>
        </w:rPr>
        <w:t xml:space="preserve"> to local </w:t>
      </w:r>
      <w:proofErr w:type="gramStart"/>
      <w:r w:rsidRPr="00D436F3">
        <w:rPr>
          <w:rFonts w:ascii="Calibri" w:hAnsi="Calibri" w:cs="Calibri"/>
          <w:sz w:val="24"/>
          <w:szCs w:val="24"/>
        </w:rPr>
        <w:t>audits</w:t>
      </w:r>
      <w:r w:rsidR="00D436F3" w:rsidRPr="00D436F3">
        <w:rPr>
          <w:rFonts w:ascii="Calibri" w:hAnsi="Calibri" w:cs="Calibri"/>
          <w:sz w:val="24"/>
          <w:szCs w:val="24"/>
        </w:rPr>
        <w:t>;</w:t>
      </w:r>
      <w:proofErr w:type="gramEnd"/>
    </w:p>
    <w:p w:rsidR="00646592" w:rsidRPr="00D436F3" w:rsidRDefault="00646592" w:rsidP="007A2EFF">
      <w:pPr>
        <w:pStyle w:val="ListParagraph"/>
        <w:numPr>
          <w:ilvl w:val="0"/>
          <w:numId w:val="5"/>
        </w:numPr>
        <w:spacing w:after="0" w:line="240" w:lineRule="auto"/>
        <w:ind w:left="1134" w:hanging="284"/>
        <w:contextualSpacing w:val="0"/>
        <w:rPr>
          <w:rFonts w:ascii="Calibri" w:hAnsi="Calibri" w:cs="Calibri"/>
          <w:sz w:val="24"/>
          <w:szCs w:val="24"/>
          <w:lang w:val="en"/>
        </w:rPr>
      </w:pPr>
      <w:r>
        <w:rPr>
          <w:rFonts w:ascii="Calibri" w:hAnsi="Calibri" w:cs="Calibri"/>
          <w:sz w:val="24"/>
          <w:szCs w:val="24"/>
        </w:rPr>
        <w:t xml:space="preserve">It </w:t>
      </w:r>
      <w:r>
        <w:rPr>
          <w:rFonts w:ascii="Calibri" w:hAnsi="Calibri" w:cs="Calibri"/>
          <w:b/>
          <w:bCs/>
          <w:sz w:val="24"/>
          <w:szCs w:val="24"/>
        </w:rPr>
        <w:t>does not apply</w:t>
      </w:r>
      <w:r>
        <w:rPr>
          <w:rFonts w:ascii="Calibri" w:hAnsi="Calibri" w:cs="Calibri"/>
          <w:sz w:val="24"/>
          <w:szCs w:val="24"/>
        </w:rPr>
        <w:t xml:space="preserve"> to data used to support payment and invoice </w:t>
      </w:r>
      <w:proofErr w:type="gramStart"/>
      <w:r>
        <w:rPr>
          <w:rFonts w:ascii="Calibri" w:hAnsi="Calibri" w:cs="Calibri"/>
          <w:sz w:val="24"/>
          <w:szCs w:val="24"/>
        </w:rPr>
        <w:t>validation;</w:t>
      </w:r>
      <w:proofErr w:type="gramEnd"/>
    </w:p>
    <w:p w:rsidR="00D95A15" w:rsidRPr="00D436F3" w:rsidRDefault="00D95A15" w:rsidP="007A2EFF">
      <w:pPr>
        <w:pStyle w:val="ListParagraph"/>
        <w:numPr>
          <w:ilvl w:val="0"/>
          <w:numId w:val="5"/>
        </w:numPr>
        <w:spacing w:after="0" w:line="240" w:lineRule="auto"/>
        <w:ind w:left="1134" w:hanging="284"/>
        <w:contextualSpacing w:val="0"/>
        <w:rPr>
          <w:rFonts w:ascii="Calibri" w:hAnsi="Calibri" w:cs="Calibri"/>
          <w:sz w:val="24"/>
          <w:szCs w:val="24"/>
        </w:rPr>
      </w:pPr>
      <w:r w:rsidRPr="00D436F3">
        <w:rPr>
          <w:rFonts w:ascii="Calibri" w:hAnsi="Calibri" w:cs="Calibri"/>
          <w:sz w:val="24"/>
          <w:szCs w:val="24"/>
        </w:rPr>
        <w:t xml:space="preserve">There are a small number of exceptional circumstances where clinicians, Caldicott Guardians and managers can decide to share information based on public </w:t>
      </w:r>
      <w:r w:rsidR="00FA5945" w:rsidRPr="00D436F3">
        <w:rPr>
          <w:rFonts w:ascii="Calibri" w:hAnsi="Calibri" w:cs="Calibri"/>
          <w:sz w:val="24"/>
          <w:szCs w:val="24"/>
        </w:rPr>
        <w:t>interest,</w:t>
      </w:r>
      <w:r w:rsidR="006978FF" w:rsidRPr="00D436F3">
        <w:rPr>
          <w:rFonts w:ascii="Calibri" w:hAnsi="Calibri" w:cs="Calibri"/>
          <w:sz w:val="24"/>
          <w:szCs w:val="24"/>
        </w:rPr>
        <w:t xml:space="preserve"> but these</w:t>
      </w:r>
      <w:r w:rsidRPr="00D436F3">
        <w:rPr>
          <w:rFonts w:ascii="Calibri" w:hAnsi="Calibri" w:cs="Calibri"/>
          <w:sz w:val="24"/>
          <w:szCs w:val="24"/>
        </w:rPr>
        <w:t xml:space="preserve"> are made on a case-by-case basis and carefully consider the circumstances involved.</w:t>
      </w:r>
    </w:p>
    <w:p w:rsidR="006978FF" w:rsidRPr="00D436F3" w:rsidRDefault="006978FF" w:rsidP="007A2EFF">
      <w:pPr>
        <w:pStyle w:val="ListParagraph"/>
        <w:numPr>
          <w:ilvl w:val="0"/>
          <w:numId w:val="5"/>
        </w:numPr>
        <w:spacing w:after="0" w:line="240" w:lineRule="auto"/>
        <w:ind w:left="1134" w:hanging="284"/>
        <w:contextualSpacing w:val="0"/>
        <w:rPr>
          <w:rFonts w:ascii="Calibri" w:hAnsi="Calibri" w:cs="Calibri"/>
          <w:sz w:val="24"/>
          <w:szCs w:val="24"/>
        </w:rPr>
      </w:pPr>
      <w:r w:rsidRPr="00D436F3">
        <w:rPr>
          <w:rFonts w:ascii="Calibri" w:hAnsi="Calibri" w:cs="Calibri"/>
          <w:sz w:val="24"/>
          <w:szCs w:val="24"/>
        </w:rPr>
        <w:t>Specific exemptions have been made for disclosure of data for:</w:t>
      </w:r>
    </w:p>
    <w:p w:rsidR="006978FF" w:rsidRPr="00D436F3" w:rsidRDefault="006978FF" w:rsidP="007A2EFF">
      <w:pPr>
        <w:pStyle w:val="ListParagraph"/>
        <w:numPr>
          <w:ilvl w:val="1"/>
          <w:numId w:val="5"/>
        </w:numPr>
        <w:spacing w:after="0" w:line="240" w:lineRule="auto"/>
        <w:ind w:left="1701" w:hanging="283"/>
        <w:contextualSpacing w:val="0"/>
        <w:rPr>
          <w:rFonts w:ascii="Calibri" w:hAnsi="Calibri" w:cs="Calibri"/>
          <w:sz w:val="24"/>
          <w:szCs w:val="24"/>
        </w:rPr>
      </w:pPr>
      <w:r w:rsidRPr="00D436F3">
        <w:rPr>
          <w:rFonts w:ascii="Calibri" w:hAnsi="Calibri" w:cs="Calibri"/>
          <w:sz w:val="24"/>
          <w:szCs w:val="24"/>
        </w:rPr>
        <w:t>Public Health England National Disease Registers</w:t>
      </w:r>
    </w:p>
    <w:p w:rsidR="006978FF" w:rsidRPr="00D436F3" w:rsidRDefault="006978FF" w:rsidP="007A2EFF">
      <w:pPr>
        <w:pStyle w:val="ListParagraph"/>
        <w:numPr>
          <w:ilvl w:val="1"/>
          <w:numId w:val="5"/>
        </w:numPr>
        <w:spacing w:after="0" w:line="240" w:lineRule="auto"/>
        <w:ind w:left="1701" w:hanging="283"/>
        <w:contextualSpacing w:val="0"/>
        <w:rPr>
          <w:rFonts w:ascii="Calibri" w:hAnsi="Calibri" w:cs="Calibri"/>
          <w:sz w:val="24"/>
          <w:szCs w:val="24"/>
        </w:rPr>
      </w:pPr>
      <w:r w:rsidRPr="00D436F3">
        <w:rPr>
          <w:rFonts w:ascii="Calibri" w:hAnsi="Calibri" w:cs="Calibri"/>
          <w:sz w:val="24"/>
          <w:szCs w:val="24"/>
        </w:rPr>
        <w:t>Assuring Transformation</w:t>
      </w:r>
      <w:r w:rsidR="00646592">
        <w:rPr>
          <w:rFonts w:ascii="Calibri" w:hAnsi="Calibri" w:cs="Calibri"/>
          <w:sz w:val="24"/>
          <w:szCs w:val="24"/>
        </w:rPr>
        <w:t xml:space="preserve">, i.e. </w:t>
      </w:r>
      <w:r w:rsidR="00F62DDE" w:rsidRPr="00D436F3">
        <w:rPr>
          <w:rFonts w:ascii="Calibri" w:hAnsi="Calibri" w:cs="Calibri"/>
          <w:sz w:val="24"/>
          <w:szCs w:val="24"/>
        </w:rPr>
        <w:t>It</w:t>
      </w:r>
      <w:r w:rsidRPr="00D436F3">
        <w:rPr>
          <w:rFonts w:ascii="Calibri" w:hAnsi="Calibri" w:cs="Calibri"/>
          <w:sz w:val="24"/>
          <w:szCs w:val="24"/>
        </w:rPr>
        <w:t xml:space="preserve"> does not apply to confidential patient information about people with learning disabilities and/or autism who are in hospital for their mental health or due to challenging behaviour which is disclosed under the following approval:</w:t>
      </w:r>
      <w:r w:rsidR="00F62DDE" w:rsidRPr="00D436F3">
        <w:rPr>
          <w:rFonts w:ascii="Calibri" w:hAnsi="Calibri" w:cs="Calibri"/>
          <w:sz w:val="24"/>
          <w:szCs w:val="24"/>
        </w:rPr>
        <w:t xml:space="preserve"> </w:t>
      </w:r>
      <w:r w:rsidRPr="00D436F3">
        <w:rPr>
          <w:rFonts w:ascii="Calibri" w:hAnsi="Calibri" w:cs="Calibri"/>
          <w:sz w:val="24"/>
          <w:szCs w:val="24"/>
        </w:rPr>
        <w:t>Assuring Transformation: Enhanced Quality Assurance Process Data flow (CAG 8-02 (a-c)/2014).</w:t>
      </w:r>
      <w:r w:rsidR="00646592">
        <w:rPr>
          <w:rFonts w:ascii="Calibri" w:hAnsi="Calibri" w:cs="Calibri"/>
          <w:sz w:val="24"/>
          <w:szCs w:val="24"/>
        </w:rPr>
        <w:t xml:space="preserve"> </w:t>
      </w:r>
      <w:r w:rsidR="00646592" w:rsidRPr="00646592">
        <w:rPr>
          <w:rFonts w:ascii="Calibri" w:hAnsi="Calibri" w:cs="Calibri"/>
          <w:sz w:val="24"/>
          <w:szCs w:val="24"/>
        </w:rPr>
        <w:t>These flows continue to operate a separate opt-out mechanism and details of how to opt-out of the Assuring Transformation data collection can be found </w:t>
      </w:r>
      <w:hyperlink r:id="rId9" w:history="1">
        <w:r w:rsidR="00646592" w:rsidRPr="00646592">
          <w:rPr>
            <w:rStyle w:val="Hyperlink"/>
            <w:rFonts w:ascii="Calibri" w:hAnsi="Calibri" w:cs="Calibri"/>
            <w:sz w:val="24"/>
            <w:szCs w:val="24"/>
          </w:rPr>
          <w:t>on the NHS England webpages</w:t>
        </w:r>
      </w:hyperlink>
      <w:r w:rsidR="00646592" w:rsidRPr="00646592">
        <w:rPr>
          <w:rFonts w:ascii="Calibri" w:hAnsi="Calibri" w:cs="Calibri"/>
          <w:sz w:val="24"/>
          <w:szCs w:val="24"/>
        </w:rPr>
        <w:t>. This exemption is time limited until the end of the “Building the Right Support Programme”.</w:t>
      </w:r>
    </w:p>
    <w:p w:rsidR="006978FF" w:rsidRPr="00D436F3" w:rsidRDefault="006978FF" w:rsidP="007A2EFF">
      <w:pPr>
        <w:pStyle w:val="ListParagraph"/>
        <w:numPr>
          <w:ilvl w:val="1"/>
          <w:numId w:val="5"/>
        </w:numPr>
        <w:spacing w:after="0" w:line="240" w:lineRule="auto"/>
        <w:ind w:left="1701" w:hanging="283"/>
        <w:contextualSpacing w:val="0"/>
        <w:rPr>
          <w:rFonts w:ascii="Calibri" w:hAnsi="Calibri" w:cs="Calibri"/>
          <w:sz w:val="24"/>
          <w:szCs w:val="24"/>
        </w:rPr>
      </w:pPr>
      <w:r w:rsidRPr="00D436F3">
        <w:rPr>
          <w:rFonts w:ascii="Calibri" w:hAnsi="Calibri" w:cs="Calibri"/>
          <w:sz w:val="24"/>
          <w:szCs w:val="24"/>
        </w:rPr>
        <w:t>National patient experience surveys</w:t>
      </w:r>
    </w:p>
    <w:p w:rsidR="006978FF" w:rsidRPr="00D436F3" w:rsidRDefault="00F62DDE" w:rsidP="007A2EFF">
      <w:pPr>
        <w:pStyle w:val="ListParagraph"/>
        <w:numPr>
          <w:ilvl w:val="0"/>
          <w:numId w:val="5"/>
        </w:numPr>
        <w:spacing w:after="0" w:line="240" w:lineRule="auto"/>
        <w:ind w:left="1134" w:hanging="284"/>
        <w:contextualSpacing w:val="0"/>
        <w:rPr>
          <w:rFonts w:ascii="Calibri" w:hAnsi="Calibri" w:cs="Calibri"/>
          <w:sz w:val="24"/>
          <w:szCs w:val="24"/>
          <w:lang w:val="en"/>
        </w:rPr>
      </w:pPr>
      <w:r w:rsidRPr="00D436F3">
        <w:rPr>
          <w:rFonts w:ascii="Calibri" w:hAnsi="Calibri" w:cs="Calibri"/>
          <w:sz w:val="24"/>
          <w:szCs w:val="24"/>
          <w:lang w:val="en"/>
        </w:rPr>
        <w:t>T</w:t>
      </w:r>
      <w:r w:rsidR="006978FF" w:rsidRPr="00D436F3">
        <w:rPr>
          <w:rFonts w:ascii="Calibri" w:hAnsi="Calibri" w:cs="Calibri"/>
          <w:sz w:val="24"/>
          <w:szCs w:val="24"/>
          <w:lang w:val="en"/>
        </w:rPr>
        <w:t>he</w:t>
      </w:r>
      <w:r w:rsidRPr="00D436F3">
        <w:rPr>
          <w:rFonts w:ascii="Calibri" w:hAnsi="Calibri" w:cs="Calibri"/>
          <w:sz w:val="24"/>
          <w:szCs w:val="24"/>
          <w:lang w:val="en"/>
        </w:rPr>
        <w:t>re are specific rules in the</w:t>
      </w:r>
      <w:r w:rsidR="006978FF" w:rsidRPr="00D436F3">
        <w:rPr>
          <w:rFonts w:ascii="Calibri" w:hAnsi="Calibri" w:cs="Calibri"/>
          <w:sz w:val="24"/>
          <w:szCs w:val="24"/>
          <w:lang w:val="en"/>
        </w:rPr>
        <w:t xml:space="preserve"> application of national data opt-outs to data flows into and out of NHS Digital </w:t>
      </w:r>
      <w:r w:rsidRPr="00D436F3">
        <w:rPr>
          <w:rFonts w:ascii="Calibri" w:hAnsi="Calibri" w:cs="Calibri"/>
          <w:sz w:val="24"/>
          <w:szCs w:val="24"/>
          <w:lang w:val="en"/>
        </w:rPr>
        <w:t>as</w:t>
      </w:r>
      <w:r w:rsidR="006978FF" w:rsidRPr="00D436F3">
        <w:rPr>
          <w:rFonts w:ascii="Calibri" w:hAnsi="Calibri" w:cs="Calibri"/>
          <w:sz w:val="24"/>
          <w:szCs w:val="24"/>
          <w:lang w:val="en"/>
        </w:rPr>
        <w:t xml:space="preserve"> these </w:t>
      </w:r>
      <w:proofErr w:type="spellStart"/>
      <w:r w:rsidR="006978FF" w:rsidRPr="00D436F3">
        <w:rPr>
          <w:rFonts w:ascii="Calibri" w:hAnsi="Calibri" w:cs="Calibri"/>
          <w:sz w:val="24"/>
          <w:szCs w:val="24"/>
          <w:lang w:val="en"/>
        </w:rPr>
        <w:t>recognise</w:t>
      </w:r>
      <w:proofErr w:type="spellEnd"/>
      <w:r w:rsidR="006978FF" w:rsidRPr="00D436F3">
        <w:rPr>
          <w:rFonts w:ascii="Calibri" w:hAnsi="Calibri" w:cs="Calibri"/>
          <w:sz w:val="24"/>
          <w:szCs w:val="24"/>
          <w:lang w:val="en"/>
        </w:rPr>
        <w:t xml:space="preserve"> NHS Digital’s role as the national </w:t>
      </w:r>
      <w:proofErr w:type="gramStart"/>
      <w:r w:rsidR="006978FF" w:rsidRPr="00D436F3">
        <w:rPr>
          <w:rFonts w:ascii="Calibri" w:hAnsi="Calibri" w:cs="Calibri"/>
          <w:sz w:val="24"/>
          <w:szCs w:val="24"/>
          <w:lang w:val="en"/>
        </w:rPr>
        <w:t>safe haven</w:t>
      </w:r>
      <w:proofErr w:type="gramEnd"/>
      <w:r w:rsidR="006978FF" w:rsidRPr="00D436F3">
        <w:rPr>
          <w:rFonts w:ascii="Calibri" w:hAnsi="Calibri" w:cs="Calibri"/>
          <w:sz w:val="24"/>
          <w:szCs w:val="24"/>
          <w:lang w:val="en"/>
        </w:rPr>
        <w:t xml:space="preserve"> and the specific powers it has under the Health and Social Care Act 2012</w:t>
      </w:r>
      <w:r w:rsidRPr="00D436F3">
        <w:rPr>
          <w:rFonts w:ascii="Calibri" w:hAnsi="Calibri" w:cs="Calibri"/>
          <w:sz w:val="24"/>
          <w:szCs w:val="24"/>
          <w:lang w:val="en"/>
        </w:rPr>
        <w:t>.</w:t>
      </w:r>
      <w:r w:rsidR="003C47CE" w:rsidRPr="00D436F3">
        <w:rPr>
          <w:rFonts w:ascii="Calibri" w:hAnsi="Calibri" w:cs="Calibri"/>
          <w:sz w:val="24"/>
          <w:szCs w:val="24"/>
          <w:lang w:val="en"/>
        </w:rPr>
        <w:t xml:space="preserve">  Further information about these can be found </w:t>
      </w:r>
      <w:r w:rsidR="00646592">
        <w:rPr>
          <w:rFonts w:ascii="Calibri" w:hAnsi="Calibri" w:cs="Calibri"/>
          <w:sz w:val="24"/>
          <w:szCs w:val="24"/>
          <w:lang w:val="en"/>
        </w:rPr>
        <w:t>in the</w:t>
      </w:r>
      <w:r w:rsidR="003C47CE" w:rsidRPr="00D436F3">
        <w:rPr>
          <w:rFonts w:ascii="Calibri" w:hAnsi="Calibri" w:cs="Calibri"/>
          <w:sz w:val="24"/>
          <w:szCs w:val="24"/>
          <w:lang w:val="en"/>
        </w:rPr>
        <w:t xml:space="preserve"> </w:t>
      </w:r>
      <w:hyperlink r:id="rId10" w:history="1">
        <w:r w:rsidR="003C47CE" w:rsidRPr="00D436F3">
          <w:rPr>
            <w:rStyle w:val="Hyperlink"/>
            <w:rFonts w:ascii="Calibri" w:hAnsi="Calibri" w:cs="Calibri"/>
            <w:sz w:val="24"/>
            <w:szCs w:val="24"/>
            <w:lang w:val="en"/>
          </w:rPr>
          <w:t>Policy Guidance Document</w:t>
        </w:r>
      </w:hyperlink>
      <w:r w:rsidR="00004BBF" w:rsidRPr="00D436F3">
        <w:rPr>
          <w:rFonts w:ascii="Calibri" w:hAnsi="Calibri" w:cs="Calibri"/>
          <w:sz w:val="24"/>
          <w:szCs w:val="24"/>
          <w:lang w:val="en"/>
        </w:rPr>
        <w:t>.</w:t>
      </w:r>
    </w:p>
    <w:p w:rsidR="004901D8" w:rsidRPr="00F46330" w:rsidRDefault="00697E5B" w:rsidP="00F46330">
      <w:pPr>
        <w:pStyle w:val="Heading1"/>
      </w:pPr>
      <w:bookmarkStart w:id="5" w:name="_Toc99613152"/>
      <w:r>
        <w:t xml:space="preserve">What an </w:t>
      </w:r>
      <w:r w:rsidR="004901D8" w:rsidRPr="00F46330">
        <w:t>organisation should</w:t>
      </w:r>
      <w:r>
        <w:t xml:space="preserve"> do</w:t>
      </w:r>
      <w:bookmarkEnd w:id="5"/>
    </w:p>
    <w:p w:rsidR="00792479" w:rsidRDefault="00792479" w:rsidP="007A2EFF">
      <w:pPr>
        <w:pStyle w:val="ListParagraph"/>
        <w:numPr>
          <w:ilvl w:val="0"/>
          <w:numId w:val="6"/>
        </w:numPr>
        <w:spacing w:after="0" w:line="240" w:lineRule="auto"/>
        <w:ind w:left="1134" w:hanging="284"/>
        <w:contextualSpacing w:val="0"/>
        <w:jc w:val="both"/>
        <w:rPr>
          <w:rFonts w:ascii="Calibri" w:hAnsi="Calibri" w:cs="Calibri"/>
          <w:sz w:val="24"/>
          <w:szCs w:val="24"/>
        </w:rPr>
      </w:pPr>
      <w:r>
        <w:rPr>
          <w:rFonts w:ascii="Calibri" w:hAnsi="Calibri" w:cs="Calibri"/>
          <w:sz w:val="24"/>
          <w:szCs w:val="24"/>
        </w:rPr>
        <w:t>Review</w:t>
      </w:r>
      <w:r w:rsidR="00DE77CE">
        <w:rPr>
          <w:rFonts w:ascii="Calibri" w:hAnsi="Calibri" w:cs="Calibri"/>
          <w:sz w:val="24"/>
          <w:szCs w:val="24"/>
        </w:rPr>
        <w:t xml:space="preserve"> the</w:t>
      </w:r>
      <w:r>
        <w:rPr>
          <w:rFonts w:ascii="Calibri" w:hAnsi="Calibri" w:cs="Calibri"/>
          <w:sz w:val="24"/>
          <w:szCs w:val="24"/>
        </w:rPr>
        <w:t xml:space="preserve"> </w:t>
      </w:r>
      <w:r w:rsidR="001857A7">
        <w:rPr>
          <w:rFonts w:ascii="Calibri" w:hAnsi="Calibri" w:cs="Calibri"/>
          <w:sz w:val="24"/>
          <w:szCs w:val="24"/>
        </w:rPr>
        <w:t xml:space="preserve">compliance </w:t>
      </w:r>
      <w:r>
        <w:rPr>
          <w:rFonts w:ascii="Calibri" w:hAnsi="Calibri" w:cs="Calibri"/>
          <w:sz w:val="24"/>
          <w:szCs w:val="24"/>
        </w:rPr>
        <w:t>checkl</w:t>
      </w:r>
      <w:r w:rsidR="00ED682D">
        <w:rPr>
          <w:rFonts w:ascii="Calibri" w:hAnsi="Calibri" w:cs="Calibri"/>
          <w:sz w:val="24"/>
          <w:szCs w:val="24"/>
        </w:rPr>
        <w:t>ist in point 7</w:t>
      </w:r>
    </w:p>
    <w:p w:rsidR="00751D0E" w:rsidRPr="00D436F3" w:rsidRDefault="00751D0E" w:rsidP="007A2EFF">
      <w:pPr>
        <w:pStyle w:val="ListParagraph"/>
        <w:numPr>
          <w:ilvl w:val="0"/>
          <w:numId w:val="6"/>
        </w:numPr>
        <w:spacing w:after="0" w:line="240" w:lineRule="auto"/>
        <w:ind w:left="1134" w:hanging="284"/>
        <w:contextualSpacing w:val="0"/>
        <w:jc w:val="both"/>
        <w:rPr>
          <w:rFonts w:ascii="Calibri" w:hAnsi="Calibri" w:cs="Calibri"/>
          <w:sz w:val="24"/>
          <w:szCs w:val="24"/>
        </w:rPr>
      </w:pPr>
      <w:r w:rsidRPr="00D436F3">
        <w:rPr>
          <w:rFonts w:ascii="Calibri" w:hAnsi="Calibri" w:cs="Calibri"/>
          <w:sz w:val="24"/>
          <w:szCs w:val="24"/>
        </w:rPr>
        <w:t xml:space="preserve">Plan and document procedures to apply </w:t>
      </w:r>
      <w:r w:rsidR="00646592" w:rsidRPr="00FA5945">
        <w:t>national data opt-outs</w:t>
      </w:r>
      <w:r w:rsidR="00A03BC3">
        <w:rPr>
          <w:rFonts w:ascii="Calibri" w:hAnsi="Calibri" w:cs="Calibri"/>
          <w:sz w:val="24"/>
          <w:szCs w:val="24"/>
        </w:rPr>
        <w:t xml:space="preserve"> </w:t>
      </w:r>
    </w:p>
    <w:p w:rsidR="00B70818" w:rsidRPr="00D436F3" w:rsidRDefault="00B70818" w:rsidP="007A2EFF">
      <w:pPr>
        <w:pStyle w:val="ListParagraph"/>
        <w:numPr>
          <w:ilvl w:val="0"/>
          <w:numId w:val="6"/>
        </w:numPr>
        <w:spacing w:after="0" w:line="240" w:lineRule="auto"/>
        <w:ind w:left="1134" w:hanging="284"/>
        <w:contextualSpacing w:val="0"/>
        <w:jc w:val="both"/>
        <w:rPr>
          <w:rFonts w:ascii="Calibri" w:hAnsi="Calibri" w:cs="Calibri"/>
          <w:sz w:val="24"/>
          <w:szCs w:val="24"/>
        </w:rPr>
      </w:pPr>
      <w:r w:rsidRPr="00D436F3">
        <w:rPr>
          <w:rFonts w:ascii="Calibri" w:hAnsi="Calibri" w:cs="Calibri"/>
          <w:sz w:val="24"/>
          <w:szCs w:val="24"/>
        </w:rPr>
        <w:t xml:space="preserve">Make sure staff, </w:t>
      </w:r>
      <w:r w:rsidR="00FA5945">
        <w:rPr>
          <w:rFonts w:ascii="Calibri" w:hAnsi="Calibri" w:cs="Calibri"/>
          <w:sz w:val="24"/>
          <w:szCs w:val="24"/>
        </w:rPr>
        <w:t>p</w:t>
      </w:r>
      <w:r w:rsidR="00FA5945" w:rsidRPr="00D436F3">
        <w:rPr>
          <w:rFonts w:ascii="Calibri" w:hAnsi="Calibri" w:cs="Calibri"/>
          <w:sz w:val="24"/>
          <w:szCs w:val="24"/>
        </w:rPr>
        <w:t>atients,</w:t>
      </w:r>
      <w:r w:rsidRPr="00D436F3">
        <w:rPr>
          <w:rFonts w:ascii="Calibri" w:hAnsi="Calibri" w:cs="Calibri"/>
          <w:sz w:val="24"/>
          <w:szCs w:val="24"/>
        </w:rPr>
        <w:t xml:space="preserve"> and those you share data with are aware that any data being used for purposes beyond </w:t>
      </w:r>
      <w:r w:rsidR="00DE77CE">
        <w:rPr>
          <w:rFonts w:ascii="Calibri" w:hAnsi="Calibri" w:cs="Calibri"/>
          <w:sz w:val="24"/>
          <w:szCs w:val="24"/>
        </w:rPr>
        <w:t>d</w:t>
      </w:r>
      <w:r w:rsidRPr="00D436F3">
        <w:rPr>
          <w:rFonts w:ascii="Calibri" w:hAnsi="Calibri" w:cs="Calibri"/>
          <w:sz w:val="24"/>
          <w:szCs w:val="24"/>
        </w:rPr>
        <w:t xml:space="preserve">irect </w:t>
      </w:r>
      <w:r w:rsidR="00DE77CE">
        <w:rPr>
          <w:rFonts w:ascii="Calibri" w:hAnsi="Calibri" w:cs="Calibri"/>
          <w:sz w:val="24"/>
          <w:szCs w:val="24"/>
        </w:rPr>
        <w:t>c</w:t>
      </w:r>
      <w:r w:rsidRPr="00D436F3">
        <w:rPr>
          <w:rFonts w:ascii="Calibri" w:hAnsi="Calibri" w:cs="Calibri"/>
          <w:sz w:val="24"/>
          <w:szCs w:val="24"/>
        </w:rPr>
        <w:t>are may</w:t>
      </w:r>
      <w:r w:rsidR="003C47CE" w:rsidRPr="00D436F3">
        <w:rPr>
          <w:rFonts w:ascii="Calibri" w:hAnsi="Calibri" w:cs="Calibri"/>
          <w:sz w:val="24"/>
          <w:szCs w:val="24"/>
        </w:rPr>
        <w:t xml:space="preserve"> be subject to the data opt-out</w:t>
      </w:r>
    </w:p>
    <w:p w:rsidR="001C5511" w:rsidRPr="00D436F3" w:rsidRDefault="004901D8" w:rsidP="007A2EFF">
      <w:pPr>
        <w:pStyle w:val="ListParagraph"/>
        <w:numPr>
          <w:ilvl w:val="0"/>
          <w:numId w:val="6"/>
        </w:numPr>
        <w:spacing w:after="0" w:line="240" w:lineRule="auto"/>
        <w:ind w:left="1134" w:hanging="284"/>
        <w:contextualSpacing w:val="0"/>
        <w:jc w:val="both"/>
        <w:rPr>
          <w:rFonts w:ascii="Calibri" w:hAnsi="Calibri" w:cs="Calibri"/>
          <w:sz w:val="24"/>
          <w:szCs w:val="24"/>
        </w:rPr>
      </w:pPr>
      <w:r w:rsidRPr="00D436F3">
        <w:rPr>
          <w:rFonts w:ascii="Calibri" w:hAnsi="Calibri" w:cs="Calibri"/>
          <w:sz w:val="24"/>
          <w:szCs w:val="24"/>
        </w:rPr>
        <w:t xml:space="preserve">Ensure that </w:t>
      </w:r>
      <w:r w:rsidR="00792479">
        <w:rPr>
          <w:rFonts w:ascii="Calibri" w:hAnsi="Calibri" w:cs="Calibri"/>
          <w:sz w:val="24"/>
          <w:szCs w:val="24"/>
        </w:rPr>
        <w:t>patients understand when they can apply an opt</w:t>
      </w:r>
      <w:r w:rsidR="00DE77CE">
        <w:rPr>
          <w:rFonts w:ascii="Calibri" w:hAnsi="Calibri" w:cs="Calibri"/>
          <w:sz w:val="24"/>
          <w:szCs w:val="24"/>
        </w:rPr>
        <w:t>-</w:t>
      </w:r>
      <w:r w:rsidR="00792479">
        <w:rPr>
          <w:rFonts w:ascii="Calibri" w:hAnsi="Calibri" w:cs="Calibri"/>
          <w:sz w:val="24"/>
          <w:szCs w:val="24"/>
        </w:rPr>
        <w:t xml:space="preserve">out </w:t>
      </w:r>
    </w:p>
    <w:p w:rsidR="00B70818" w:rsidRPr="00D436F3" w:rsidRDefault="00B70818" w:rsidP="007A2EFF">
      <w:pPr>
        <w:pStyle w:val="ListParagraph"/>
        <w:numPr>
          <w:ilvl w:val="0"/>
          <w:numId w:val="6"/>
        </w:numPr>
        <w:spacing w:after="0" w:line="240" w:lineRule="auto"/>
        <w:ind w:left="1134" w:hanging="284"/>
        <w:contextualSpacing w:val="0"/>
        <w:jc w:val="both"/>
        <w:rPr>
          <w:rFonts w:ascii="Calibri" w:hAnsi="Calibri" w:cs="Calibri"/>
          <w:i/>
          <w:sz w:val="24"/>
          <w:szCs w:val="24"/>
        </w:rPr>
      </w:pPr>
      <w:r w:rsidRPr="00D436F3">
        <w:rPr>
          <w:rFonts w:ascii="Calibri" w:hAnsi="Calibri" w:cs="Calibri"/>
          <w:sz w:val="24"/>
          <w:szCs w:val="24"/>
        </w:rPr>
        <w:t xml:space="preserve">Implement </w:t>
      </w:r>
      <w:r w:rsidR="00751D0E" w:rsidRPr="00D436F3">
        <w:rPr>
          <w:rFonts w:ascii="Calibri" w:hAnsi="Calibri" w:cs="Calibri"/>
          <w:sz w:val="24"/>
          <w:szCs w:val="24"/>
        </w:rPr>
        <w:t xml:space="preserve">a </w:t>
      </w:r>
      <w:r w:rsidRPr="00D436F3">
        <w:rPr>
          <w:rFonts w:ascii="Calibri" w:hAnsi="Calibri" w:cs="Calibri"/>
          <w:sz w:val="24"/>
          <w:szCs w:val="24"/>
        </w:rPr>
        <w:t>technical solution to access the Check for</w:t>
      </w:r>
      <w:r w:rsidR="00663C74" w:rsidRPr="00D436F3">
        <w:rPr>
          <w:rFonts w:ascii="Calibri" w:hAnsi="Calibri" w:cs="Calibri"/>
          <w:sz w:val="24"/>
          <w:szCs w:val="24"/>
        </w:rPr>
        <w:t xml:space="preserve"> National Data Opt-</w:t>
      </w:r>
      <w:r w:rsidR="001857A7">
        <w:rPr>
          <w:rFonts w:ascii="Calibri" w:hAnsi="Calibri" w:cs="Calibri"/>
          <w:sz w:val="24"/>
          <w:szCs w:val="24"/>
        </w:rPr>
        <w:t>O</w:t>
      </w:r>
      <w:r w:rsidR="00663C74" w:rsidRPr="00D436F3">
        <w:rPr>
          <w:rFonts w:ascii="Calibri" w:hAnsi="Calibri" w:cs="Calibri"/>
          <w:sz w:val="24"/>
          <w:szCs w:val="24"/>
        </w:rPr>
        <w:t>uts service</w:t>
      </w:r>
    </w:p>
    <w:p w:rsidR="00B70818" w:rsidRPr="00D436F3" w:rsidRDefault="00751D0E" w:rsidP="007A2EFF">
      <w:pPr>
        <w:pStyle w:val="ListParagraph"/>
        <w:numPr>
          <w:ilvl w:val="0"/>
          <w:numId w:val="6"/>
        </w:numPr>
        <w:spacing w:after="0" w:line="240" w:lineRule="auto"/>
        <w:ind w:left="1134" w:hanging="284"/>
        <w:contextualSpacing w:val="0"/>
        <w:jc w:val="both"/>
        <w:rPr>
          <w:rFonts w:ascii="Calibri" w:hAnsi="Calibri" w:cs="Calibri"/>
          <w:sz w:val="24"/>
          <w:szCs w:val="24"/>
        </w:rPr>
      </w:pPr>
      <w:r w:rsidRPr="00D436F3">
        <w:rPr>
          <w:rFonts w:ascii="Calibri" w:hAnsi="Calibri" w:cs="Calibri"/>
          <w:sz w:val="24"/>
          <w:szCs w:val="24"/>
        </w:rPr>
        <w:t>Where necessary</w:t>
      </w:r>
      <w:r w:rsidR="00646592">
        <w:rPr>
          <w:rFonts w:ascii="Calibri" w:hAnsi="Calibri" w:cs="Calibri"/>
          <w:sz w:val="24"/>
          <w:szCs w:val="24"/>
        </w:rPr>
        <w:t>,</w:t>
      </w:r>
      <w:r w:rsidRPr="00D436F3">
        <w:rPr>
          <w:rFonts w:ascii="Calibri" w:hAnsi="Calibri" w:cs="Calibri"/>
          <w:sz w:val="24"/>
          <w:szCs w:val="24"/>
        </w:rPr>
        <w:t xml:space="preserve"> install </w:t>
      </w:r>
      <w:hyperlink r:id="rId11" w:history="1">
        <w:r w:rsidRPr="00D436F3">
          <w:rPr>
            <w:rStyle w:val="Hyperlink"/>
            <w:rFonts w:ascii="Calibri" w:hAnsi="Calibri" w:cs="Calibri"/>
            <w:sz w:val="24"/>
            <w:szCs w:val="24"/>
          </w:rPr>
          <w:t>Messaging Exchange for Social Care and Health (MESH)</w:t>
        </w:r>
      </w:hyperlink>
      <w:r w:rsidRPr="00D436F3">
        <w:rPr>
          <w:rFonts w:ascii="Calibri" w:hAnsi="Calibri" w:cs="Calibri"/>
          <w:sz w:val="24"/>
          <w:szCs w:val="24"/>
        </w:rPr>
        <w:t xml:space="preserve"> </w:t>
      </w:r>
    </w:p>
    <w:p w:rsidR="00697E5B" w:rsidRPr="00FA5945" w:rsidRDefault="00697E5B" w:rsidP="00FA5945">
      <w:pPr>
        <w:spacing w:after="0" w:line="240" w:lineRule="auto"/>
        <w:jc w:val="both"/>
        <w:rPr>
          <w:rFonts w:ascii="Calibri" w:hAnsi="Calibri" w:cs="Calibri"/>
          <w:sz w:val="24"/>
          <w:szCs w:val="24"/>
        </w:rPr>
      </w:pPr>
    </w:p>
    <w:p w:rsidR="00697E5B" w:rsidRPr="00D33726" w:rsidRDefault="00697E5B" w:rsidP="00697E5B">
      <w:pPr>
        <w:pStyle w:val="Heading1"/>
      </w:pPr>
      <w:bookmarkStart w:id="6" w:name="_Toc99613153"/>
      <w:r w:rsidRPr="00F46330">
        <w:t>Practices need to comply with</w:t>
      </w:r>
      <w:bookmarkEnd w:id="6"/>
    </w:p>
    <w:p w:rsidR="00663C74" w:rsidRPr="00D436F3" w:rsidRDefault="00663C74" w:rsidP="007A2EFF">
      <w:pPr>
        <w:pStyle w:val="ListParagraph"/>
        <w:numPr>
          <w:ilvl w:val="0"/>
          <w:numId w:val="7"/>
        </w:numPr>
        <w:spacing w:after="0" w:line="240" w:lineRule="auto"/>
        <w:ind w:left="1134" w:hanging="284"/>
        <w:jc w:val="both"/>
        <w:rPr>
          <w:rFonts w:ascii="Calibri" w:hAnsi="Calibri" w:cs="Calibri"/>
          <w:sz w:val="24"/>
          <w:szCs w:val="24"/>
        </w:rPr>
      </w:pPr>
      <w:hyperlink r:id="rId12" w:history="1">
        <w:r w:rsidRPr="00DE77CE">
          <w:rPr>
            <w:rStyle w:val="Hyperlink"/>
            <w:rFonts w:ascii="Calibri" w:hAnsi="Calibri" w:cs="Calibri"/>
            <w:sz w:val="24"/>
            <w:szCs w:val="24"/>
          </w:rPr>
          <w:t>NHS Digital Code of Practice on Confidential Information</w:t>
        </w:r>
      </w:hyperlink>
      <w:r w:rsidR="00C338B5" w:rsidRPr="00D436F3">
        <w:rPr>
          <w:rFonts w:ascii="Calibri" w:hAnsi="Calibri" w:cs="Calibri"/>
          <w:sz w:val="24"/>
          <w:szCs w:val="24"/>
        </w:rPr>
        <w:t xml:space="preserve"> </w:t>
      </w:r>
      <w:r w:rsidR="001857A7">
        <w:rPr>
          <w:rFonts w:ascii="Calibri" w:hAnsi="Calibri" w:cs="Calibri"/>
          <w:sz w:val="24"/>
          <w:szCs w:val="24"/>
        </w:rPr>
        <w:t>–</w:t>
      </w:r>
      <w:r w:rsidR="00C338B5" w:rsidRPr="00D436F3">
        <w:rPr>
          <w:rFonts w:ascii="Calibri" w:hAnsi="Calibri" w:cs="Calibri"/>
          <w:sz w:val="24"/>
          <w:szCs w:val="24"/>
        </w:rPr>
        <w:t xml:space="preserve"> </w:t>
      </w:r>
      <w:r w:rsidR="001857A7">
        <w:rPr>
          <w:rFonts w:ascii="Calibri" w:hAnsi="Calibri" w:cs="Calibri"/>
          <w:sz w:val="24"/>
          <w:szCs w:val="24"/>
        </w:rPr>
        <w:t xml:space="preserve">this </w:t>
      </w:r>
      <w:r w:rsidR="00C338B5" w:rsidRPr="00D436F3">
        <w:rPr>
          <w:rFonts w:ascii="Calibri" w:hAnsi="Calibri" w:cs="Calibri"/>
          <w:sz w:val="24"/>
          <w:szCs w:val="24"/>
        </w:rPr>
        <w:t>d</w:t>
      </w:r>
      <w:r w:rsidRPr="00D436F3">
        <w:rPr>
          <w:rFonts w:ascii="Calibri" w:hAnsi="Calibri" w:cs="Calibri"/>
          <w:sz w:val="24"/>
          <w:szCs w:val="24"/>
        </w:rPr>
        <w:t xml:space="preserve">efines the steps that organisations must, should and may take to ensure that confidential information is handled </w:t>
      </w:r>
      <w:proofErr w:type="gramStart"/>
      <w:r w:rsidRPr="00D436F3">
        <w:rPr>
          <w:rFonts w:ascii="Calibri" w:hAnsi="Calibri" w:cs="Calibri"/>
          <w:sz w:val="24"/>
          <w:szCs w:val="24"/>
        </w:rPr>
        <w:t>appropriately</w:t>
      </w:r>
      <w:r w:rsidR="00DE77CE">
        <w:rPr>
          <w:rFonts w:ascii="Calibri" w:hAnsi="Calibri" w:cs="Calibri"/>
          <w:sz w:val="24"/>
          <w:szCs w:val="24"/>
        </w:rPr>
        <w:t>;</w:t>
      </w:r>
      <w:proofErr w:type="gramEnd"/>
    </w:p>
    <w:p w:rsidR="00663C74" w:rsidRPr="00D436F3" w:rsidRDefault="00663C74" w:rsidP="007A2EFF">
      <w:pPr>
        <w:pStyle w:val="ListParagraph"/>
        <w:numPr>
          <w:ilvl w:val="0"/>
          <w:numId w:val="7"/>
        </w:numPr>
        <w:spacing w:after="0" w:line="240" w:lineRule="auto"/>
        <w:ind w:left="1134" w:hanging="284"/>
        <w:jc w:val="both"/>
        <w:rPr>
          <w:rFonts w:ascii="Calibri" w:hAnsi="Calibri" w:cs="Calibri"/>
          <w:sz w:val="24"/>
          <w:szCs w:val="24"/>
        </w:rPr>
      </w:pPr>
      <w:hyperlink r:id="rId13" w:history="1">
        <w:r w:rsidRPr="00DE77CE">
          <w:rPr>
            <w:rStyle w:val="Hyperlink"/>
            <w:rFonts w:ascii="Calibri" w:hAnsi="Calibri" w:cs="Calibri"/>
            <w:sz w:val="24"/>
            <w:szCs w:val="24"/>
          </w:rPr>
          <w:t>Information Standard</w:t>
        </w:r>
      </w:hyperlink>
      <w:r w:rsidR="00C338B5" w:rsidRPr="00D436F3">
        <w:rPr>
          <w:rFonts w:ascii="Calibri" w:hAnsi="Calibri" w:cs="Calibri"/>
          <w:sz w:val="24"/>
          <w:szCs w:val="24"/>
        </w:rPr>
        <w:t xml:space="preserve"> - c</w:t>
      </w:r>
      <w:r w:rsidRPr="00D436F3">
        <w:rPr>
          <w:rFonts w:ascii="Calibri" w:hAnsi="Calibri" w:cs="Calibri"/>
          <w:sz w:val="24"/>
          <w:szCs w:val="24"/>
        </w:rPr>
        <w:t>ompliance with National Data Opt-out standard which require</w:t>
      </w:r>
      <w:r w:rsidR="001857A7">
        <w:rPr>
          <w:rFonts w:ascii="Calibri" w:hAnsi="Calibri" w:cs="Calibri"/>
          <w:sz w:val="24"/>
          <w:szCs w:val="24"/>
        </w:rPr>
        <w:t>d</w:t>
      </w:r>
      <w:r w:rsidRPr="00D436F3">
        <w:rPr>
          <w:rFonts w:ascii="Calibri" w:hAnsi="Calibri" w:cs="Calibri"/>
          <w:sz w:val="24"/>
          <w:szCs w:val="24"/>
        </w:rPr>
        <w:t xml:space="preserve"> organisations to comply with the policy by </w:t>
      </w:r>
      <w:r w:rsidR="000012F5">
        <w:rPr>
          <w:rFonts w:ascii="Calibri" w:hAnsi="Calibri" w:cs="Calibri"/>
          <w:sz w:val="24"/>
          <w:szCs w:val="24"/>
        </w:rPr>
        <w:t>31</w:t>
      </w:r>
      <w:r w:rsidR="000012F5" w:rsidRPr="000012F5">
        <w:rPr>
          <w:rFonts w:ascii="Calibri" w:hAnsi="Calibri" w:cs="Calibri"/>
          <w:sz w:val="24"/>
          <w:szCs w:val="24"/>
          <w:vertAlign w:val="superscript"/>
        </w:rPr>
        <w:t>st</w:t>
      </w:r>
      <w:r w:rsidR="000012F5">
        <w:rPr>
          <w:rFonts w:ascii="Calibri" w:hAnsi="Calibri" w:cs="Calibri"/>
          <w:sz w:val="24"/>
          <w:szCs w:val="24"/>
        </w:rPr>
        <w:t xml:space="preserve"> July</w:t>
      </w:r>
      <w:r w:rsidRPr="00D436F3">
        <w:rPr>
          <w:rFonts w:ascii="Calibri" w:hAnsi="Calibri" w:cs="Calibri"/>
          <w:sz w:val="24"/>
          <w:szCs w:val="24"/>
        </w:rPr>
        <w:t xml:space="preserve"> </w:t>
      </w:r>
      <w:proofErr w:type="gramStart"/>
      <w:r w:rsidRPr="00D436F3">
        <w:rPr>
          <w:rFonts w:ascii="Calibri" w:hAnsi="Calibri" w:cs="Calibri"/>
          <w:sz w:val="24"/>
          <w:szCs w:val="24"/>
        </w:rPr>
        <w:t>202</w:t>
      </w:r>
      <w:r w:rsidR="00DB2D56">
        <w:rPr>
          <w:rFonts w:ascii="Calibri" w:hAnsi="Calibri" w:cs="Calibri"/>
          <w:sz w:val="24"/>
          <w:szCs w:val="24"/>
        </w:rPr>
        <w:t>2</w:t>
      </w:r>
      <w:r w:rsidR="00DE77CE">
        <w:rPr>
          <w:rFonts w:ascii="Calibri" w:hAnsi="Calibri" w:cs="Calibri"/>
          <w:sz w:val="24"/>
          <w:szCs w:val="24"/>
        </w:rPr>
        <w:t>;</w:t>
      </w:r>
      <w:proofErr w:type="gramEnd"/>
    </w:p>
    <w:p w:rsidR="00663C74" w:rsidRPr="0045199D" w:rsidRDefault="00663C74" w:rsidP="007A2EFF">
      <w:pPr>
        <w:pStyle w:val="ListParagraph"/>
        <w:numPr>
          <w:ilvl w:val="0"/>
          <w:numId w:val="7"/>
        </w:numPr>
        <w:spacing w:after="0" w:line="240" w:lineRule="auto"/>
        <w:ind w:left="1134" w:hanging="284"/>
        <w:jc w:val="both"/>
      </w:pPr>
      <w:hyperlink r:id="rId14" w:history="1">
        <w:r w:rsidRPr="00DE77CE">
          <w:rPr>
            <w:rStyle w:val="Hyperlink"/>
            <w:rFonts w:ascii="Calibri" w:hAnsi="Calibri" w:cs="Calibri"/>
            <w:sz w:val="24"/>
            <w:szCs w:val="24"/>
          </w:rPr>
          <w:t>Data Security &amp; Protection Toolkit</w:t>
        </w:r>
      </w:hyperlink>
      <w:r w:rsidRPr="00D436F3">
        <w:rPr>
          <w:rFonts w:ascii="Calibri" w:hAnsi="Calibri" w:cs="Calibri"/>
          <w:sz w:val="24"/>
          <w:szCs w:val="24"/>
        </w:rPr>
        <w:t xml:space="preserve"> </w:t>
      </w:r>
      <w:r w:rsidR="00C338B5" w:rsidRPr="00D436F3">
        <w:rPr>
          <w:rFonts w:ascii="Calibri" w:hAnsi="Calibri" w:cs="Calibri"/>
          <w:sz w:val="24"/>
          <w:szCs w:val="24"/>
        </w:rPr>
        <w:t>- t</w:t>
      </w:r>
      <w:r w:rsidRPr="00D436F3">
        <w:rPr>
          <w:rFonts w:ascii="Calibri" w:hAnsi="Calibri" w:cs="Calibri"/>
          <w:sz w:val="24"/>
          <w:szCs w:val="24"/>
        </w:rPr>
        <w:t xml:space="preserve">he organisation must state if they comply with the policy and provide evidence </w:t>
      </w:r>
      <w:r w:rsidR="00FA5945" w:rsidRPr="00D436F3">
        <w:rPr>
          <w:rFonts w:ascii="Calibri" w:hAnsi="Calibri" w:cs="Calibri"/>
          <w:sz w:val="24"/>
          <w:szCs w:val="24"/>
        </w:rPr>
        <w:t>e.g.,</w:t>
      </w:r>
      <w:r w:rsidRPr="00D436F3">
        <w:rPr>
          <w:rFonts w:ascii="Calibri" w:hAnsi="Calibri" w:cs="Calibri"/>
          <w:sz w:val="24"/>
          <w:szCs w:val="24"/>
        </w:rPr>
        <w:t xml:space="preserve"> a published compliance statement in a Privacy </w:t>
      </w:r>
      <w:proofErr w:type="gramStart"/>
      <w:r w:rsidRPr="00D436F3">
        <w:rPr>
          <w:rFonts w:ascii="Calibri" w:hAnsi="Calibri" w:cs="Calibri"/>
          <w:sz w:val="24"/>
          <w:szCs w:val="24"/>
        </w:rPr>
        <w:t>Notice</w:t>
      </w:r>
      <w:r w:rsidR="00DE77CE">
        <w:rPr>
          <w:rFonts w:ascii="Calibri" w:hAnsi="Calibri" w:cs="Calibri"/>
          <w:sz w:val="24"/>
          <w:szCs w:val="24"/>
        </w:rPr>
        <w:t>;</w:t>
      </w:r>
      <w:proofErr w:type="gramEnd"/>
    </w:p>
    <w:p w:rsidR="00792479" w:rsidRPr="0045199D" w:rsidRDefault="00DE77CE" w:rsidP="00FA5945">
      <w:pPr>
        <w:spacing w:after="0" w:line="240" w:lineRule="auto"/>
        <w:jc w:val="both"/>
      </w:pPr>
      <w:r>
        <w:rPr>
          <w:rFonts w:ascii="Calibri" w:hAnsi="Calibri" w:cs="Calibri"/>
          <w:sz w:val="24"/>
          <w:szCs w:val="24"/>
        </w:rPr>
        <w:t>Further i</w:t>
      </w:r>
      <w:r w:rsidR="00792479" w:rsidRPr="00DE77CE">
        <w:rPr>
          <w:rFonts w:ascii="Calibri" w:hAnsi="Calibri" w:cs="Calibri"/>
          <w:sz w:val="24"/>
          <w:szCs w:val="24"/>
        </w:rPr>
        <w:t xml:space="preserve">nformation for GP practices can be found </w:t>
      </w:r>
      <w:hyperlink r:id="rId15" w:history="1">
        <w:r w:rsidR="00792479" w:rsidRPr="00DE77CE">
          <w:rPr>
            <w:rStyle w:val="Hyperlink"/>
            <w:rFonts w:ascii="Calibri" w:hAnsi="Calibri" w:cs="Calibri"/>
            <w:sz w:val="24"/>
            <w:szCs w:val="24"/>
          </w:rPr>
          <w:t>here</w:t>
        </w:r>
      </w:hyperlink>
      <w:r w:rsidRPr="00DF14E0">
        <w:rPr>
          <w:rStyle w:val="Hyperlink"/>
          <w:rFonts w:ascii="Calibri" w:hAnsi="Calibri" w:cs="Calibri"/>
          <w:color w:val="auto"/>
          <w:sz w:val="24"/>
          <w:szCs w:val="24"/>
          <w:u w:val="none"/>
        </w:rPr>
        <w:t>, including information on clinical system functionality, a link to the compliance implementation guide and resources to support patients and staff in understanding the National Data Opt-Out.</w:t>
      </w:r>
    </w:p>
    <w:p w:rsidR="00DB2D56" w:rsidRDefault="00DB2D56" w:rsidP="0045199D">
      <w:pPr>
        <w:pStyle w:val="ListParagraph"/>
        <w:spacing w:after="0" w:line="240" w:lineRule="auto"/>
        <w:ind w:left="0"/>
        <w:jc w:val="both"/>
      </w:pPr>
    </w:p>
    <w:p w:rsidR="00C338B5" w:rsidRDefault="00C338B5" w:rsidP="007A2EFF">
      <w:pPr>
        <w:pStyle w:val="Heading1"/>
        <w:numPr>
          <w:ilvl w:val="0"/>
          <w:numId w:val="13"/>
        </w:numPr>
      </w:pPr>
      <w:bookmarkStart w:id="7" w:name="_Toc99613154"/>
      <w:r w:rsidRPr="00F46330">
        <w:t xml:space="preserve">Further help and </w:t>
      </w:r>
      <w:r w:rsidR="00DE77CE">
        <w:t>s</w:t>
      </w:r>
      <w:r w:rsidRPr="00F46330">
        <w:t>upport</w:t>
      </w:r>
      <w:bookmarkEnd w:id="7"/>
    </w:p>
    <w:p w:rsidR="00FC7D0A" w:rsidRPr="00FC7D0A" w:rsidRDefault="00FC7D0A" w:rsidP="00FC7D0A">
      <w:pPr>
        <w:jc w:val="both"/>
        <w:rPr>
          <w:sz w:val="24"/>
          <w:szCs w:val="24"/>
        </w:rPr>
      </w:pPr>
      <w:r w:rsidRPr="00FC7D0A">
        <w:rPr>
          <w:sz w:val="24"/>
          <w:szCs w:val="24"/>
        </w:rPr>
        <w:t xml:space="preserve">In order to assess when you need to run the patient list through the MESH or digital solution, you should complete a DPIA and update your Date </w:t>
      </w:r>
      <w:r w:rsidR="00646592">
        <w:rPr>
          <w:sz w:val="24"/>
          <w:szCs w:val="24"/>
        </w:rPr>
        <w:t>F</w:t>
      </w:r>
      <w:r w:rsidRPr="00FC7D0A">
        <w:rPr>
          <w:sz w:val="24"/>
          <w:szCs w:val="24"/>
        </w:rPr>
        <w:t xml:space="preserve">low </w:t>
      </w:r>
      <w:r w:rsidR="00646592">
        <w:rPr>
          <w:sz w:val="24"/>
          <w:szCs w:val="24"/>
        </w:rPr>
        <w:t>M</w:t>
      </w:r>
      <w:r w:rsidRPr="00FC7D0A">
        <w:rPr>
          <w:sz w:val="24"/>
          <w:szCs w:val="24"/>
        </w:rPr>
        <w:t xml:space="preserve">ap (DFM) or Record of Processing Activity (ROPA). </w:t>
      </w:r>
      <w:r w:rsidR="00DE77CE">
        <w:rPr>
          <w:sz w:val="24"/>
          <w:szCs w:val="24"/>
        </w:rPr>
        <w:t>Assessing</w:t>
      </w:r>
      <w:r w:rsidRPr="00FC7D0A">
        <w:rPr>
          <w:sz w:val="24"/>
          <w:szCs w:val="24"/>
        </w:rPr>
        <w:t xml:space="preserve"> your use of data will enable you to be compliant to the NDOO.</w:t>
      </w:r>
    </w:p>
    <w:p w:rsidR="00D436F3" w:rsidRPr="00724680" w:rsidRDefault="00D436F3" w:rsidP="007A2EFF">
      <w:pPr>
        <w:pStyle w:val="ListParagraph"/>
        <w:keepNext/>
        <w:keepLines/>
        <w:numPr>
          <w:ilvl w:val="0"/>
          <w:numId w:val="8"/>
        </w:numPr>
        <w:spacing w:before="240" w:after="120" w:line="240" w:lineRule="auto"/>
        <w:contextualSpacing w:val="0"/>
        <w:outlineLvl w:val="1"/>
        <w:rPr>
          <w:rFonts w:ascii="Calibri" w:eastAsiaTheme="majorEastAsia" w:hAnsi="Calibri" w:cs="Calibri"/>
          <w:b/>
          <w:bCs/>
          <w:vanish/>
          <w:color w:val="1960AB"/>
          <w:sz w:val="24"/>
          <w:szCs w:val="26"/>
        </w:rPr>
      </w:pPr>
      <w:bookmarkStart w:id="8" w:name="_Toc46498705"/>
      <w:bookmarkStart w:id="9" w:name="_Toc46499034"/>
      <w:bookmarkStart w:id="10" w:name="_Toc46499285"/>
      <w:bookmarkStart w:id="11" w:name="_Toc87884773"/>
      <w:bookmarkStart w:id="12" w:name="_Toc87959039"/>
      <w:bookmarkStart w:id="13" w:name="_Toc87959080"/>
      <w:bookmarkStart w:id="14" w:name="_Toc99610779"/>
      <w:bookmarkStart w:id="15" w:name="_Toc99610839"/>
      <w:bookmarkStart w:id="16" w:name="_Toc99610960"/>
      <w:bookmarkStart w:id="17" w:name="_Toc99611326"/>
      <w:bookmarkStart w:id="18" w:name="_Toc99611349"/>
      <w:bookmarkStart w:id="19" w:name="_Toc99613155"/>
      <w:bookmarkEnd w:id="8"/>
      <w:bookmarkEnd w:id="9"/>
      <w:bookmarkEnd w:id="10"/>
      <w:bookmarkEnd w:id="11"/>
      <w:bookmarkEnd w:id="12"/>
      <w:bookmarkEnd w:id="13"/>
      <w:bookmarkEnd w:id="14"/>
      <w:bookmarkEnd w:id="15"/>
      <w:bookmarkEnd w:id="16"/>
      <w:bookmarkEnd w:id="17"/>
      <w:bookmarkEnd w:id="18"/>
      <w:bookmarkEnd w:id="19"/>
    </w:p>
    <w:p w:rsidR="00D436F3" w:rsidRPr="00724680" w:rsidRDefault="00D436F3" w:rsidP="007A2EFF">
      <w:pPr>
        <w:pStyle w:val="ListParagraph"/>
        <w:keepNext/>
        <w:keepLines/>
        <w:numPr>
          <w:ilvl w:val="0"/>
          <w:numId w:val="8"/>
        </w:numPr>
        <w:spacing w:before="240" w:after="120" w:line="240" w:lineRule="auto"/>
        <w:contextualSpacing w:val="0"/>
        <w:outlineLvl w:val="1"/>
        <w:rPr>
          <w:rFonts w:ascii="Calibri" w:eastAsiaTheme="majorEastAsia" w:hAnsi="Calibri" w:cs="Calibri"/>
          <w:b/>
          <w:bCs/>
          <w:vanish/>
          <w:color w:val="1960AB"/>
          <w:sz w:val="24"/>
          <w:szCs w:val="26"/>
        </w:rPr>
      </w:pPr>
      <w:bookmarkStart w:id="20" w:name="_Toc46498706"/>
      <w:bookmarkStart w:id="21" w:name="_Toc46499035"/>
      <w:bookmarkStart w:id="22" w:name="_Toc46499286"/>
      <w:bookmarkStart w:id="23" w:name="_Toc87884774"/>
      <w:bookmarkStart w:id="24" w:name="_Toc87959040"/>
      <w:bookmarkStart w:id="25" w:name="_Toc87959081"/>
      <w:bookmarkStart w:id="26" w:name="_Toc99610780"/>
      <w:bookmarkStart w:id="27" w:name="_Toc99610840"/>
      <w:bookmarkStart w:id="28" w:name="_Toc99610961"/>
      <w:bookmarkStart w:id="29" w:name="_Toc99611327"/>
      <w:bookmarkStart w:id="30" w:name="_Toc99611350"/>
      <w:bookmarkStart w:id="31" w:name="_Toc99613156"/>
      <w:bookmarkEnd w:id="20"/>
      <w:bookmarkEnd w:id="21"/>
      <w:bookmarkEnd w:id="22"/>
      <w:bookmarkEnd w:id="23"/>
      <w:bookmarkEnd w:id="24"/>
      <w:bookmarkEnd w:id="25"/>
      <w:bookmarkEnd w:id="26"/>
      <w:bookmarkEnd w:id="27"/>
      <w:bookmarkEnd w:id="28"/>
      <w:bookmarkEnd w:id="29"/>
      <w:bookmarkEnd w:id="30"/>
      <w:bookmarkEnd w:id="31"/>
    </w:p>
    <w:p w:rsidR="00D436F3" w:rsidRPr="00724680" w:rsidRDefault="00D436F3" w:rsidP="007A2EFF">
      <w:pPr>
        <w:pStyle w:val="ListParagraph"/>
        <w:keepNext/>
        <w:keepLines/>
        <w:numPr>
          <w:ilvl w:val="0"/>
          <w:numId w:val="8"/>
        </w:numPr>
        <w:spacing w:before="240" w:after="120" w:line="240" w:lineRule="auto"/>
        <w:contextualSpacing w:val="0"/>
        <w:outlineLvl w:val="1"/>
        <w:rPr>
          <w:rFonts w:ascii="Calibri" w:eastAsiaTheme="majorEastAsia" w:hAnsi="Calibri" w:cs="Calibri"/>
          <w:b/>
          <w:bCs/>
          <w:vanish/>
          <w:color w:val="1960AB"/>
          <w:sz w:val="24"/>
          <w:szCs w:val="26"/>
        </w:rPr>
      </w:pPr>
      <w:bookmarkStart w:id="32" w:name="_Toc46498707"/>
      <w:bookmarkStart w:id="33" w:name="_Toc46499036"/>
      <w:bookmarkStart w:id="34" w:name="_Toc46499287"/>
      <w:bookmarkStart w:id="35" w:name="_Toc87884775"/>
      <w:bookmarkStart w:id="36" w:name="_Toc87959041"/>
      <w:bookmarkStart w:id="37" w:name="_Toc87959082"/>
      <w:bookmarkStart w:id="38" w:name="_Toc99610781"/>
      <w:bookmarkStart w:id="39" w:name="_Toc99610841"/>
      <w:bookmarkStart w:id="40" w:name="_Toc99610962"/>
      <w:bookmarkStart w:id="41" w:name="_Toc99611328"/>
      <w:bookmarkStart w:id="42" w:name="_Toc99611351"/>
      <w:bookmarkStart w:id="43" w:name="_Toc99613157"/>
      <w:bookmarkEnd w:id="32"/>
      <w:bookmarkEnd w:id="33"/>
      <w:bookmarkEnd w:id="34"/>
      <w:bookmarkEnd w:id="35"/>
      <w:bookmarkEnd w:id="36"/>
      <w:bookmarkEnd w:id="37"/>
      <w:bookmarkEnd w:id="38"/>
      <w:bookmarkEnd w:id="39"/>
      <w:bookmarkEnd w:id="40"/>
      <w:bookmarkEnd w:id="41"/>
      <w:bookmarkEnd w:id="42"/>
      <w:bookmarkEnd w:id="43"/>
    </w:p>
    <w:p w:rsidR="00D436F3" w:rsidRPr="00724680" w:rsidRDefault="00D436F3" w:rsidP="007A2EFF">
      <w:pPr>
        <w:pStyle w:val="ListParagraph"/>
        <w:keepNext/>
        <w:keepLines/>
        <w:numPr>
          <w:ilvl w:val="0"/>
          <w:numId w:val="8"/>
        </w:numPr>
        <w:spacing w:before="240" w:after="120" w:line="240" w:lineRule="auto"/>
        <w:contextualSpacing w:val="0"/>
        <w:outlineLvl w:val="1"/>
        <w:rPr>
          <w:rFonts w:ascii="Calibri" w:eastAsiaTheme="majorEastAsia" w:hAnsi="Calibri" w:cs="Calibri"/>
          <w:b/>
          <w:bCs/>
          <w:vanish/>
          <w:color w:val="1960AB"/>
          <w:sz w:val="24"/>
          <w:szCs w:val="26"/>
        </w:rPr>
      </w:pPr>
      <w:bookmarkStart w:id="44" w:name="_Toc46498708"/>
      <w:bookmarkStart w:id="45" w:name="_Toc46499037"/>
      <w:bookmarkStart w:id="46" w:name="_Toc46499288"/>
      <w:bookmarkStart w:id="47" w:name="_Toc87884776"/>
      <w:bookmarkStart w:id="48" w:name="_Toc87959042"/>
      <w:bookmarkStart w:id="49" w:name="_Toc87959083"/>
      <w:bookmarkStart w:id="50" w:name="_Toc99610782"/>
      <w:bookmarkStart w:id="51" w:name="_Toc99610842"/>
      <w:bookmarkStart w:id="52" w:name="_Toc99610963"/>
      <w:bookmarkStart w:id="53" w:name="_Toc99611329"/>
      <w:bookmarkStart w:id="54" w:name="_Toc99611352"/>
      <w:bookmarkStart w:id="55" w:name="_Toc99613158"/>
      <w:bookmarkEnd w:id="44"/>
      <w:bookmarkEnd w:id="45"/>
      <w:bookmarkEnd w:id="46"/>
      <w:bookmarkEnd w:id="47"/>
      <w:bookmarkEnd w:id="48"/>
      <w:bookmarkEnd w:id="49"/>
      <w:bookmarkEnd w:id="50"/>
      <w:bookmarkEnd w:id="51"/>
      <w:bookmarkEnd w:id="52"/>
      <w:bookmarkEnd w:id="53"/>
      <w:bookmarkEnd w:id="54"/>
      <w:bookmarkEnd w:id="55"/>
    </w:p>
    <w:p w:rsidR="00D436F3" w:rsidRPr="00724680" w:rsidRDefault="00D436F3" w:rsidP="007A2EFF">
      <w:pPr>
        <w:pStyle w:val="ListParagraph"/>
        <w:keepNext/>
        <w:keepLines/>
        <w:numPr>
          <w:ilvl w:val="0"/>
          <w:numId w:val="8"/>
        </w:numPr>
        <w:spacing w:before="240" w:after="120" w:line="240" w:lineRule="auto"/>
        <w:contextualSpacing w:val="0"/>
        <w:outlineLvl w:val="1"/>
        <w:rPr>
          <w:rFonts w:ascii="Calibri" w:eastAsiaTheme="majorEastAsia" w:hAnsi="Calibri" w:cs="Calibri"/>
          <w:b/>
          <w:bCs/>
          <w:vanish/>
          <w:color w:val="1960AB"/>
          <w:sz w:val="24"/>
          <w:szCs w:val="26"/>
        </w:rPr>
      </w:pPr>
      <w:bookmarkStart w:id="56" w:name="_Toc46498709"/>
      <w:bookmarkStart w:id="57" w:name="_Toc46499038"/>
      <w:bookmarkStart w:id="58" w:name="_Toc46499289"/>
      <w:bookmarkStart w:id="59" w:name="_Toc87884777"/>
      <w:bookmarkStart w:id="60" w:name="_Toc87959043"/>
      <w:bookmarkStart w:id="61" w:name="_Toc87959084"/>
      <w:bookmarkStart w:id="62" w:name="_Toc99610783"/>
      <w:bookmarkStart w:id="63" w:name="_Toc99610843"/>
      <w:bookmarkStart w:id="64" w:name="_Toc99610964"/>
      <w:bookmarkStart w:id="65" w:name="_Toc99611330"/>
      <w:bookmarkStart w:id="66" w:name="_Toc99611353"/>
      <w:bookmarkStart w:id="67" w:name="_Toc99613159"/>
      <w:bookmarkEnd w:id="56"/>
      <w:bookmarkEnd w:id="57"/>
      <w:bookmarkEnd w:id="58"/>
      <w:bookmarkEnd w:id="59"/>
      <w:bookmarkEnd w:id="60"/>
      <w:bookmarkEnd w:id="61"/>
      <w:bookmarkEnd w:id="62"/>
      <w:bookmarkEnd w:id="63"/>
      <w:bookmarkEnd w:id="64"/>
      <w:bookmarkEnd w:id="65"/>
      <w:bookmarkEnd w:id="66"/>
      <w:bookmarkEnd w:id="67"/>
    </w:p>
    <w:p w:rsidR="00D436F3" w:rsidRPr="00724680" w:rsidRDefault="00D436F3" w:rsidP="007A2EFF">
      <w:pPr>
        <w:pStyle w:val="ListParagraph"/>
        <w:keepNext/>
        <w:keepLines/>
        <w:numPr>
          <w:ilvl w:val="0"/>
          <w:numId w:val="8"/>
        </w:numPr>
        <w:spacing w:before="240" w:after="120" w:line="240" w:lineRule="auto"/>
        <w:contextualSpacing w:val="0"/>
        <w:outlineLvl w:val="1"/>
        <w:rPr>
          <w:rFonts w:ascii="Calibri" w:eastAsiaTheme="majorEastAsia" w:hAnsi="Calibri" w:cs="Calibri"/>
          <w:b/>
          <w:bCs/>
          <w:vanish/>
          <w:color w:val="1960AB"/>
          <w:sz w:val="24"/>
          <w:szCs w:val="26"/>
        </w:rPr>
      </w:pPr>
      <w:bookmarkStart w:id="68" w:name="_Toc46498710"/>
      <w:bookmarkStart w:id="69" w:name="_Toc46499039"/>
      <w:bookmarkStart w:id="70" w:name="_Toc46499290"/>
      <w:bookmarkStart w:id="71" w:name="_Toc87884778"/>
      <w:bookmarkStart w:id="72" w:name="_Toc87959044"/>
      <w:bookmarkStart w:id="73" w:name="_Toc87959085"/>
      <w:bookmarkStart w:id="74" w:name="_Toc99610784"/>
      <w:bookmarkStart w:id="75" w:name="_Toc99610844"/>
      <w:bookmarkStart w:id="76" w:name="_Toc99610965"/>
      <w:bookmarkStart w:id="77" w:name="_Toc99611331"/>
      <w:bookmarkStart w:id="78" w:name="_Toc99611354"/>
      <w:bookmarkStart w:id="79" w:name="_Toc99613160"/>
      <w:bookmarkEnd w:id="68"/>
      <w:bookmarkEnd w:id="69"/>
      <w:bookmarkEnd w:id="70"/>
      <w:bookmarkEnd w:id="71"/>
      <w:bookmarkEnd w:id="72"/>
      <w:bookmarkEnd w:id="73"/>
      <w:bookmarkEnd w:id="74"/>
      <w:bookmarkEnd w:id="75"/>
      <w:bookmarkEnd w:id="76"/>
      <w:bookmarkEnd w:id="77"/>
      <w:bookmarkEnd w:id="78"/>
      <w:bookmarkEnd w:id="79"/>
    </w:p>
    <w:p w:rsidR="00D33726" w:rsidRPr="00724680" w:rsidRDefault="00D33726" w:rsidP="007A2EFF">
      <w:pPr>
        <w:pStyle w:val="ListParagraph"/>
        <w:keepNext/>
        <w:keepLines/>
        <w:numPr>
          <w:ilvl w:val="0"/>
          <w:numId w:val="10"/>
        </w:numPr>
        <w:spacing w:before="240" w:after="120" w:line="240" w:lineRule="auto"/>
        <w:contextualSpacing w:val="0"/>
        <w:outlineLvl w:val="1"/>
        <w:rPr>
          <w:rFonts w:ascii="Calibri" w:eastAsiaTheme="majorEastAsia" w:hAnsi="Calibri" w:cs="Calibri"/>
          <w:b/>
          <w:bCs/>
          <w:vanish/>
          <w:color w:val="330072"/>
          <w:sz w:val="24"/>
          <w:szCs w:val="26"/>
        </w:rPr>
      </w:pPr>
      <w:bookmarkStart w:id="80" w:name="_Toc87884779"/>
      <w:bookmarkStart w:id="81" w:name="_Toc87959045"/>
      <w:bookmarkStart w:id="82" w:name="_Toc87959086"/>
      <w:bookmarkStart w:id="83" w:name="_Toc99610785"/>
      <w:bookmarkStart w:id="84" w:name="_Toc99610845"/>
      <w:bookmarkStart w:id="85" w:name="_Toc99610966"/>
      <w:bookmarkStart w:id="86" w:name="_Toc99611332"/>
      <w:bookmarkStart w:id="87" w:name="_Toc99611355"/>
      <w:bookmarkStart w:id="88" w:name="_Toc99613161"/>
      <w:bookmarkEnd w:id="80"/>
      <w:bookmarkEnd w:id="81"/>
      <w:bookmarkEnd w:id="82"/>
      <w:bookmarkEnd w:id="83"/>
      <w:bookmarkEnd w:id="84"/>
      <w:bookmarkEnd w:id="85"/>
      <w:bookmarkEnd w:id="86"/>
      <w:bookmarkEnd w:id="87"/>
      <w:bookmarkEnd w:id="88"/>
    </w:p>
    <w:p w:rsidR="00D33726" w:rsidRPr="00724680" w:rsidRDefault="00D33726" w:rsidP="007A2EFF">
      <w:pPr>
        <w:pStyle w:val="ListParagraph"/>
        <w:keepNext/>
        <w:keepLines/>
        <w:numPr>
          <w:ilvl w:val="0"/>
          <w:numId w:val="10"/>
        </w:numPr>
        <w:spacing w:before="240" w:after="120" w:line="240" w:lineRule="auto"/>
        <w:contextualSpacing w:val="0"/>
        <w:outlineLvl w:val="1"/>
        <w:rPr>
          <w:rFonts w:ascii="Calibri" w:eastAsiaTheme="majorEastAsia" w:hAnsi="Calibri" w:cs="Calibri"/>
          <w:b/>
          <w:bCs/>
          <w:vanish/>
          <w:color w:val="330072"/>
          <w:sz w:val="24"/>
          <w:szCs w:val="26"/>
        </w:rPr>
      </w:pPr>
      <w:bookmarkStart w:id="89" w:name="_Toc87884780"/>
      <w:bookmarkStart w:id="90" w:name="_Toc87959046"/>
      <w:bookmarkStart w:id="91" w:name="_Toc87959087"/>
      <w:bookmarkStart w:id="92" w:name="_Toc99610786"/>
      <w:bookmarkStart w:id="93" w:name="_Toc99610846"/>
      <w:bookmarkStart w:id="94" w:name="_Toc99610967"/>
      <w:bookmarkStart w:id="95" w:name="_Toc99611333"/>
      <w:bookmarkStart w:id="96" w:name="_Toc99611356"/>
      <w:bookmarkStart w:id="97" w:name="_Toc99613162"/>
      <w:bookmarkEnd w:id="89"/>
      <w:bookmarkEnd w:id="90"/>
      <w:bookmarkEnd w:id="91"/>
      <w:bookmarkEnd w:id="92"/>
      <w:bookmarkEnd w:id="93"/>
      <w:bookmarkEnd w:id="94"/>
      <w:bookmarkEnd w:id="95"/>
      <w:bookmarkEnd w:id="96"/>
      <w:bookmarkEnd w:id="97"/>
    </w:p>
    <w:p w:rsidR="00D33726" w:rsidRPr="00724680" w:rsidRDefault="00D33726" w:rsidP="007A2EFF">
      <w:pPr>
        <w:pStyle w:val="ListParagraph"/>
        <w:keepNext/>
        <w:keepLines/>
        <w:numPr>
          <w:ilvl w:val="0"/>
          <w:numId w:val="10"/>
        </w:numPr>
        <w:spacing w:before="240" w:after="120" w:line="240" w:lineRule="auto"/>
        <w:contextualSpacing w:val="0"/>
        <w:outlineLvl w:val="1"/>
        <w:rPr>
          <w:rFonts w:ascii="Calibri" w:eastAsiaTheme="majorEastAsia" w:hAnsi="Calibri" w:cs="Calibri"/>
          <w:b/>
          <w:bCs/>
          <w:vanish/>
          <w:color w:val="330072"/>
          <w:sz w:val="24"/>
          <w:szCs w:val="26"/>
        </w:rPr>
      </w:pPr>
      <w:bookmarkStart w:id="98" w:name="_Toc87884781"/>
      <w:bookmarkStart w:id="99" w:name="_Toc87959047"/>
      <w:bookmarkStart w:id="100" w:name="_Toc87959088"/>
      <w:bookmarkStart w:id="101" w:name="_Toc99610787"/>
      <w:bookmarkStart w:id="102" w:name="_Toc99610847"/>
      <w:bookmarkStart w:id="103" w:name="_Toc99610968"/>
      <w:bookmarkStart w:id="104" w:name="_Toc99611334"/>
      <w:bookmarkStart w:id="105" w:name="_Toc99611357"/>
      <w:bookmarkStart w:id="106" w:name="_Toc99613163"/>
      <w:bookmarkEnd w:id="98"/>
      <w:bookmarkEnd w:id="99"/>
      <w:bookmarkEnd w:id="100"/>
      <w:bookmarkEnd w:id="101"/>
      <w:bookmarkEnd w:id="102"/>
      <w:bookmarkEnd w:id="103"/>
      <w:bookmarkEnd w:id="104"/>
      <w:bookmarkEnd w:id="105"/>
      <w:bookmarkEnd w:id="106"/>
    </w:p>
    <w:p w:rsidR="00D33726" w:rsidRPr="00724680" w:rsidRDefault="00D33726" w:rsidP="007A2EFF">
      <w:pPr>
        <w:pStyle w:val="ListParagraph"/>
        <w:keepNext/>
        <w:keepLines/>
        <w:numPr>
          <w:ilvl w:val="0"/>
          <w:numId w:val="10"/>
        </w:numPr>
        <w:spacing w:before="240" w:after="120" w:line="240" w:lineRule="auto"/>
        <w:contextualSpacing w:val="0"/>
        <w:outlineLvl w:val="1"/>
        <w:rPr>
          <w:rFonts w:ascii="Calibri" w:eastAsiaTheme="majorEastAsia" w:hAnsi="Calibri" w:cs="Calibri"/>
          <w:b/>
          <w:bCs/>
          <w:vanish/>
          <w:color w:val="330072"/>
          <w:sz w:val="24"/>
          <w:szCs w:val="26"/>
        </w:rPr>
      </w:pPr>
      <w:bookmarkStart w:id="107" w:name="_Toc87884782"/>
      <w:bookmarkStart w:id="108" w:name="_Toc87959048"/>
      <w:bookmarkStart w:id="109" w:name="_Toc87959089"/>
      <w:bookmarkStart w:id="110" w:name="_Toc99610788"/>
      <w:bookmarkStart w:id="111" w:name="_Toc99610848"/>
      <w:bookmarkStart w:id="112" w:name="_Toc99610969"/>
      <w:bookmarkStart w:id="113" w:name="_Toc99611335"/>
      <w:bookmarkStart w:id="114" w:name="_Toc99611358"/>
      <w:bookmarkStart w:id="115" w:name="_Toc99613164"/>
      <w:bookmarkEnd w:id="107"/>
      <w:bookmarkEnd w:id="108"/>
      <w:bookmarkEnd w:id="109"/>
      <w:bookmarkEnd w:id="110"/>
      <w:bookmarkEnd w:id="111"/>
      <w:bookmarkEnd w:id="112"/>
      <w:bookmarkEnd w:id="113"/>
      <w:bookmarkEnd w:id="114"/>
      <w:bookmarkEnd w:id="115"/>
    </w:p>
    <w:p w:rsidR="00D33726" w:rsidRPr="00724680" w:rsidRDefault="00D33726" w:rsidP="007A2EFF">
      <w:pPr>
        <w:pStyle w:val="ListParagraph"/>
        <w:keepNext/>
        <w:keepLines/>
        <w:numPr>
          <w:ilvl w:val="0"/>
          <w:numId w:val="10"/>
        </w:numPr>
        <w:spacing w:before="240" w:after="120" w:line="240" w:lineRule="auto"/>
        <w:contextualSpacing w:val="0"/>
        <w:outlineLvl w:val="1"/>
        <w:rPr>
          <w:rFonts w:ascii="Calibri" w:eastAsiaTheme="majorEastAsia" w:hAnsi="Calibri" w:cs="Calibri"/>
          <w:b/>
          <w:bCs/>
          <w:vanish/>
          <w:color w:val="330072"/>
          <w:sz w:val="24"/>
          <w:szCs w:val="26"/>
        </w:rPr>
      </w:pPr>
      <w:bookmarkStart w:id="116" w:name="_Toc87884783"/>
      <w:bookmarkStart w:id="117" w:name="_Toc87959049"/>
      <w:bookmarkStart w:id="118" w:name="_Toc87959090"/>
      <w:bookmarkStart w:id="119" w:name="_Toc99610789"/>
      <w:bookmarkStart w:id="120" w:name="_Toc99610849"/>
      <w:bookmarkStart w:id="121" w:name="_Toc99610970"/>
      <w:bookmarkStart w:id="122" w:name="_Toc99611336"/>
      <w:bookmarkStart w:id="123" w:name="_Toc99611359"/>
      <w:bookmarkStart w:id="124" w:name="_Toc99613165"/>
      <w:bookmarkEnd w:id="116"/>
      <w:bookmarkEnd w:id="117"/>
      <w:bookmarkEnd w:id="118"/>
      <w:bookmarkEnd w:id="119"/>
      <w:bookmarkEnd w:id="120"/>
      <w:bookmarkEnd w:id="121"/>
      <w:bookmarkEnd w:id="122"/>
      <w:bookmarkEnd w:id="123"/>
      <w:bookmarkEnd w:id="124"/>
    </w:p>
    <w:p w:rsidR="00D33726" w:rsidRPr="00724680" w:rsidRDefault="00D33726" w:rsidP="007A2EFF">
      <w:pPr>
        <w:pStyle w:val="ListParagraph"/>
        <w:keepNext/>
        <w:keepLines/>
        <w:numPr>
          <w:ilvl w:val="0"/>
          <w:numId w:val="10"/>
        </w:numPr>
        <w:spacing w:before="240" w:after="120" w:line="240" w:lineRule="auto"/>
        <w:contextualSpacing w:val="0"/>
        <w:outlineLvl w:val="1"/>
        <w:rPr>
          <w:rFonts w:ascii="Calibri" w:eastAsiaTheme="majorEastAsia" w:hAnsi="Calibri" w:cs="Calibri"/>
          <w:b/>
          <w:bCs/>
          <w:vanish/>
          <w:color w:val="330072"/>
          <w:sz w:val="24"/>
          <w:szCs w:val="26"/>
        </w:rPr>
      </w:pPr>
      <w:bookmarkStart w:id="125" w:name="_Toc87884784"/>
      <w:bookmarkStart w:id="126" w:name="_Toc87959050"/>
      <w:bookmarkStart w:id="127" w:name="_Toc87959091"/>
      <w:bookmarkStart w:id="128" w:name="_Toc99610790"/>
      <w:bookmarkStart w:id="129" w:name="_Toc99610850"/>
      <w:bookmarkStart w:id="130" w:name="_Toc99610971"/>
      <w:bookmarkStart w:id="131" w:name="_Toc99611337"/>
      <w:bookmarkStart w:id="132" w:name="_Toc99611360"/>
      <w:bookmarkStart w:id="133" w:name="_Toc99613166"/>
      <w:bookmarkEnd w:id="125"/>
      <w:bookmarkEnd w:id="126"/>
      <w:bookmarkEnd w:id="127"/>
      <w:bookmarkEnd w:id="128"/>
      <w:bookmarkEnd w:id="129"/>
      <w:bookmarkEnd w:id="130"/>
      <w:bookmarkEnd w:id="131"/>
      <w:bookmarkEnd w:id="132"/>
      <w:bookmarkEnd w:id="133"/>
    </w:p>
    <w:p w:rsidR="00724680" w:rsidRDefault="00724680" w:rsidP="00724680">
      <w:pPr>
        <w:pStyle w:val="ListParagraph"/>
        <w:ind w:left="1080"/>
        <w:rPr>
          <w:b/>
          <w:sz w:val="24"/>
          <w:szCs w:val="24"/>
        </w:rPr>
      </w:pPr>
    </w:p>
    <w:p w:rsidR="00FB5072" w:rsidRDefault="00FB5072" w:rsidP="0017533B">
      <w:pPr>
        <w:pStyle w:val="ListParagraph"/>
        <w:numPr>
          <w:ilvl w:val="0"/>
          <w:numId w:val="15"/>
        </w:numPr>
        <w:rPr>
          <w:b/>
          <w:sz w:val="24"/>
          <w:szCs w:val="24"/>
        </w:rPr>
      </w:pPr>
      <w:r w:rsidRPr="00EC3713">
        <w:rPr>
          <w:b/>
          <w:sz w:val="24"/>
          <w:szCs w:val="24"/>
        </w:rPr>
        <w:t>Data flow maps</w:t>
      </w:r>
    </w:p>
    <w:p w:rsidR="00536BAE" w:rsidRPr="00512653" w:rsidRDefault="00536BAE" w:rsidP="00F7288C">
      <w:pPr>
        <w:spacing w:after="0" w:line="240" w:lineRule="auto"/>
        <w:rPr>
          <w:rFonts w:ascii="Calibri" w:hAnsi="Calibri" w:cs="Calibri"/>
          <w:sz w:val="24"/>
          <w:szCs w:val="24"/>
        </w:rPr>
      </w:pPr>
      <w:r w:rsidRPr="00512653">
        <w:rPr>
          <w:rFonts w:ascii="Calibri" w:hAnsi="Calibri" w:cs="Calibri"/>
          <w:sz w:val="24"/>
          <w:szCs w:val="24"/>
        </w:rPr>
        <w:t xml:space="preserve">To help </w:t>
      </w:r>
      <w:r w:rsidR="00FB5072" w:rsidRPr="00512653">
        <w:rPr>
          <w:rFonts w:ascii="Calibri" w:hAnsi="Calibri" w:cs="Calibri"/>
          <w:sz w:val="24"/>
          <w:szCs w:val="24"/>
        </w:rPr>
        <w:t xml:space="preserve">with recording the National Data </w:t>
      </w:r>
      <w:r w:rsidR="00DE77CE">
        <w:rPr>
          <w:rFonts w:ascii="Calibri" w:hAnsi="Calibri" w:cs="Calibri"/>
          <w:sz w:val="24"/>
          <w:szCs w:val="24"/>
        </w:rPr>
        <w:t>O</w:t>
      </w:r>
      <w:r w:rsidR="00FB5072" w:rsidRPr="00512653">
        <w:rPr>
          <w:rFonts w:ascii="Calibri" w:hAnsi="Calibri" w:cs="Calibri"/>
          <w:sz w:val="24"/>
          <w:szCs w:val="24"/>
        </w:rPr>
        <w:t xml:space="preserve">pt-out </w:t>
      </w:r>
      <w:r w:rsidR="00C338B5" w:rsidRPr="00512653">
        <w:rPr>
          <w:rFonts w:ascii="Calibri" w:hAnsi="Calibri" w:cs="Calibri"/>
          <w:sz w:val="24"/>
          <w:szCs w:val="24"/>
        </w:rPr>
        <w:t xml:space="preserve">the Data Flow </w:t>
      </w:r>
      <w:r w:rsidR="00DE77CE">
        <w:rPr>
          <w:rFonts w:ascii="Calibri" w:hAnsi="Calibri" w:cs="Calibri"/>
          <w:sz w:val="24"/>
          <w:szCs w:val="24"/>
        </w:rPr>
        <w:t>M</w:t>
      </w:r>
      <w:r w:rsidR="00C338B5" w:rsidRPr="00512653">
        <w:rPr>
          <w:rFonts w:ascii="Calibri" w:hAnsi="Calibri" w:cs="Calibri"/>
          <w:sz w:val="24"/>
          <w:szCs w:val="24"/>
        </w:rPr>
        <w:t xml:space="preserve">ap templates </w:t>
      </w:r>
      <w:r w:rsidRPr="00512653">
        <w:rPr>
          <w:rFonts w:ascii="Calibri" w:hAnsi="Calibri" w:cs="Calibri"/>
          <w:sz w:val="24"/>
          <w:szCs w:val="24"/>
        </w:rPr>
        <w:t xml:space="preserve">have </w:t>
      </w:r>
      <w:r w:rsidR="00FB5072" w:rsidRPr="00512653">
        <w:rPr>
          <w:rFonts w:ascii="Calibri" w:hAnsi="Calibri" w:cs="Calibri"/>
          <w:sz w:val="24"/>
          <w:szCs w:val="24"/>
        </w:rPr>
        <w:t>had two extra columns added</w:t>
      </w:r>
      <w:r w:rsidR="00C338B5" w:rsidRPr="00512653">
        <w:rPr>
          <w:rFonts w:ascii="Calibri" w:hAnsi="Calibri" w:cs="Calibri"/>
          <w:sz w:val="24"/>
          <w:szCs w:val="24"/>
        </w:rPr>
        <w:t xml:space="preserve"> to them</w:t>
      </w:r>
      <w:r w:rsidR="00FB5072" w:rsidRPr="00512653">
        <w:rPr>
          <w:rFonts w:ascii="Calibri" w:hAnsi="Calibri" w:cs="Calibri"/>
          <w:sz w:val="24"/>
          <w:szCs w:val="24"/>
        </w:rPr>
        <w:t xml:space="preserve">. </w:t>
      </w:r>
      <w:r w:rsidR="00DE77CE">
        <w:rPr>
          <w:rFonts w:ascii="Calibri" w:hAnsi="Calibri" w:cs="Calibri"/>
          <w:sz w:val="24"/>
          <w:szCs w:val="24"/>
        </w:rPr>
        <w:t xml:space="preserve">The most up-to-date version of this template is available to download </w:t>
      </w:r>
      <w:hyperlink r:id="rId16" w:history="1">
        <w:r w:rsidR="00DE77CE" w:rsidRPr="00DE77CE">
          <w:rPr>
            <w:rStyle w:val="Hyperlink"/>
            <w:rFonts w:ascii="Calibri" w:hAnsi="Calibri" w:cs="Calibri"/>
            <w:sz w:val="24"/>
            <w:szCs w:val="24"/>
          </w:rPr>
          <w:t>from the SCW website</w:t>
        </w:r>
      </w:hyperlink>
      <w:r w:rsidR="00DE77CE">
        <w:rPr>
          <w:rFonts w:ascii="Calibri" w:hAnsi="Calibri" w:cs="Calibri"/>
          <w:sz w:val="24"/>
          <w:szCs w:val="24"/>
        </w:rPr>
        <w:t>.</w:t>
      </w:r>
    </w:p>
    <w:p w:rsidR="00246E6F" w:rsidRPr="00512653" w:rsidRDefault="00246E6F" w:rsidP="008D47EE">
      <w:pPr>
        <w:spacing w:after="0" w:line="240" w:lineRule="auto"/>
        <w:ind w:left="567"/>
        <w:rPr>
          <w:rFonts w:ascii="Calibri" w:hAnsi="Calibri" w:cs="Calibri"/>
          <w:sz w:val="24"/>
          <w:szCs w:val="24"/>
        </w:rPr>
      </w:pPr>
    </w:p>
    <w:p w:rsidR="00246E6F" w:rsidRPr="00512653" w:rsidRDefault="00FA5945" w:rsidP="008D47EE">
      <w:pPr>
        <w:spacing w:after="0" w:line="240" w:lineRule="auto"/>
        <w:ind w:left="567"/>
        <w:rPr>
          <w:rFonts w:ascii="Calibri" w:hAnsi="Calibri" w:cs="Calibri"/>
          <w:sz w:val="24"/>
          <w:szCs w:val="24"/>
        </w:rPr>
      </w:pPr>
      <w:r>
        <w:rPr>
          <w:rFonts w:ascii="Calibri" w:hAnsi="Calibri" w:cs="Calibri"/>
          <w:sz w:val="24"/>
          <w:szCs w:val="24"/>
        </w:rPr>
        <w:object w:dxaOrig="1543" w:dyaOrig="1000" w14:anchorId="22A20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7" o:title=""/>
          </v:shape>
          <o:OLEObject Type="Embed" ProgID="Excel.Sheet.12" ShapeID="_x0000_i1025" DrawAspect="Icon" ObjectID="_1810988059" r:id="rId18"/>
        </w:object>
      </w:r>
    </w:p>
    <w:p w:rsidR="0017533B" w:rsidRDefault="0017533B" w:rsidP="0040165C">
      <w:pPr>
        <w:spacing w:after="0"/>
      </w:pPr>
    </w:p>
    <w:p w:rsidR="00C338B5" w:rsidRPr="00EC3713" w:rsidRDefault="00C338B5" w:rsidP="0017533B">
      <w:pPr>
        <w:pStyle w:val="ListParagraph"/>
        <w:numPr>
          <w:ilvl w:val="0"/>
          <w:numId w:val="15"/>
        </w:numPr>
        <w:rPr>
          <w:b/>
          <w:sz w:val="24"/>
          <w:szCs w:val="24"/>
        </w:rPr>
      </w:pPr>
      <w:r w:rsidRPr="00EC3713">
        <w:rPr>
          <w:b/>
          <w:sz w:val="24"/>
          <w:szCs w:val="24"/>
        </w:rPr>
        <w:t>Compliance checklist</w:t>
      </w:r>
    </w:p>
    <w:bookmarkStart w:id="134" w:name="_MON_1697020959"/>
    <w:bookmarkEnd w:id="134"/>
    <w:p w:rsidR="00C338B5" w:rsidRPr="00512653" w:rsidRDefault="00DE77CE" w:rsidP="008D47EE">
      <w:pPr>
        <w:spacing w:after="0" w:line="240" w:lineRule="auto"/>
        <w:ind w:left="567"/>
        <w:rPr>
          <w:rFonts w:ascii="Calibri" w:hAnsi="Calibri" w:cs="Calibri"/>
          <w:sz w:val="24"/>
          <w:szCs w:val="24"/>
        </w:rPr>
      </w:pPr>
      <w:r w:rsidRPr="00512653">
        <w:rPr>
          <w:rFonts w:ascii="Calibri" w:hAnsi="Calibri" w:cs="Calibri"/>
          <w:sz w:val="24"/>
          <w:szCs w:val="24"/>
        </w:rPr>
        <w:object w:dxaOrig="1311" w:dyaOrig="849" w14:anchorId="4179F023">
          <v:shape id="_x0000_i1026" type="#_x0000_t75" style="width:65.25pt;height:42.75pt" o:ole="">
            <v:imagedata r:id="rId19" o:title=""/>
          </v:shape>
          <o:OLEObject Type="Embed" ProgID="Word.Document.12" ShapeID="_x0000_i1026" DrawAspect="Icon" ObjectID="_1810988060" r:id="rId20">
            <o:FieldCodes>\s</o:FieldCodes>
          </o:OLEObject>
        </w:object>
      </w:r>
    </w:p>
    <w:p w:rsidR="00C338B5" w:rsidRDefault="0040078D" w:rsidP="0040078D">
      <w:pPr>
        <w:pStyle w:val="ListParagraph"/>
        <w:numPr>
          <w:ilvl w:val="0"/>
          <w:numId w:val="15"/>
        </w:numPr>
        <w:spacing w:after="0" w:line="240" w:lineRule="auto"/>
        <w:rPr>
          <w:rFonts w:ascii="Calibri" w:hAnsi="Calibri" w:cs="Calibri"/>
          <w:sz w:val="24"/>
          <w:szCs w:val="24"/>
        </w:rPr>
      </w:pPr>
      <w:r w:rsidRPr="00FA5945">
        <w:rPr>
          <w:rFonts w:ascii="Calibri" w:hAnsi="Calibri" w:cs="Calibri"/>
          <w:sz w:val="24"/>
          <w:szCs w:val="24"/>
        </w:rPr>
        <w:t>Opt out coders brief guide for Primary Care</w:t>
      </w:r>
    </w:p>
    <w:p w:rsidR="0040078D" w:rsidRDefault="0040078D" w:rsidP="0040078D">
      <w:pPr>
        <w:spacing w:after="0" w:line="240" w:lineRule="auto"/>
        <w:rPr>
          <w:rFonts w:ascii="Calibri" w:hAnsi="Calibri" w:cs="Calibri"/>
          <w:sz w:val="24"/>
          <w:szCs w:val="24"/>
        </w:rPr>
      </w:pPr>
    </w:p>
    <w:p w:rsidR="0040078D" w:rsidRDefault="0040078D" w:rsidP="0040078D">
      <w:pPr>
        <w:spacing w:after="0" w:line="240" w:lineRule="auto"/>
        <w:rPr>
          <w:rFonts w:ascii="Calibri" w:hAnsi="Calibri" w:cs="Calibri"/>
          <w:sz w:val="24"/>
          <w:szCs w:val="24"/>
        </w:rPr>
      </w:pPr>
      <w:r>
        <w:rPr>
          <w:rFonts w:ascii="Calibri" w:hAnsi="Calibri" w:cs="Calibri"/>
          <w:sz w:val="24"/>
          <w:szCs w:val="24"/>
        </w:rPr>
        <w:t xml:space="preserve">         </w:t>
      </w:r>
      <w:bookmarkStart w:id="135" w:name="_MON_1742207278"/>
      <w:bookmarkEnd w:id="135"/>
      <w:r>
        <w:rPr>
          <w:rFonts w:ascii="Calibri" w:hAnsi="Calibri" w:cs="Calibri"/>
          <w:sz w:val="24"/>
          <w:szCs w:val="24"/>
        </w:rPr>
        <w:object w:dxaOrig="1520" w:dyaOrig="987" w14:anchorId="01F459D2">
          <v:shape id="_x0000_i1027" type="#_x0000_t75" style="width:76.5pt;height:49.5pt" o:ole="">
            <v:imagedata r:id="rId21" o:title=""/>
          </v:shape>
          <o:OLEObject Type="Embed" ProgID="Word.Document.12" ShapeID="_x0000_i1027" DrawAspect="Icon" ObjectID="_1810988061" r:id="rId22">
            <o:FieldCodes>\s</o:FieldCodes>
          </o:OLEObject>
        </w:object>
      </w:r>
    </w:p>
    <w:p w:rsidR="0040078D" w:rsidRPr="00FA5945" w:rsidRDefault="0040078D" w:rsidP="0040078D">
      <w:pPr>
        <w:spacing w:after="0" w:line="240" w:lineRule="auto"/>
        <w:rPr>
          <w:rFonts w:ascii="Calibri" w:hAnsi="Calibri" w:cs="Calibri"/>
          <w:sz w:val="24"/>
          <w:szCs w:val="24"/>
        </w:rPr>
      </w:pPr>
    </w:p>
    <w:p w:rsidR="00C338B5" w:rsidRPr="0017533B" w:rsidRDefault="00C338B5" w:rsidP="0017533B">
      <w:pPr>
        <w:pStyle w:val="ListParagraph"/>
        <w:numPr>
          <w:ilvl w:val="0"/>
          <w:numId w:val="15"/>
        </w:numPr>
        <w:spacing w:after="0" w:line="240" w:lineRule="auto"/>
        <w:rPr>
          <w:rStyle w:val="Hyperlink"/>
          <w:rFonts w:ascii="Calibri" w:hAnsi="Calibri" w:cs="Calibri"/>
          <w:color w:val="auto"/>
          <w:sz w:val="24"/>
          <w:szCs w:val="24"/>
          <w:u w:val="none"/>
        </w:rPr>
      </w:pPr>
      <w:r w:rsidRPr="0017533B">
        <w:rPr>
          <w:rFonts w:ascii="Calibri" w:hAnsi="Calibri" w:cs="Calibri"/>
          <w:sz w:val="24"/>
          <w:szCs w:val="24"/>
        </w:rPr>
        <w:t xml:space="preserve">For enquiries about NHS Digital and the national data opt-out: </w:t>
      </w:r>
      <w:hyperlink r:id="rId23" w:history="1">
        <w:r w:rsidRPr="0017533B">
          <w:rPr>
            <w:rStyle w:val="Hyperlink"/>
            <w:rFonts w:ascii="Calibri" w:hAnsi="Calibri" w:cs="Calibri"/>
            <w:sz w:val="24"/>
            <w:szCs w:val="24"/>
          </w:rPr>
          <w:t>enquiries@nhsdigital.nhs.uk</w:t>
        </w:r>
      </w:hyperlink>
    </w:p>
    <w:p w:rsidR="0017533B" w:rsidRPr="0017533B" w:rsidRDefault="0017533B" w:rsidP="0017533B">
      <w:pPr>
        <w:spacing w:after="0" w:line="240" w:lineRule="auto"/>
        <w:rPr>
          <w:rFonts w:ascii="Calibri" w:hAnsi="Calibri" w:cs="Calibri"/>
          <w:sz w:val="24"/>
          <w:szCs w:val="24"/>
        </w:rPr>
      </w:pPr>
    </w:p>
    <w:p w:rsidR="00246E6F" w:rsidRPr="00D33726" w:rsidRDefault="00246E6F" w:rsidP="0017533B">
      <w:pPr>
        <w:pStyle w:val="Heading1"/>
      </w:pPr>
      <w:bookmarkStart w:id="136" w:name="_Toc99613167"/>
      <w:r w:rsidRPr="00D33726">
        <w:t xml:space="preserve">Points to note </w:t>
      </w:r>
      <w:r w:rsidR="00DE77CE">
        <w:t xml:space="preserve">for </w:t>
      </w:r>
      <w:r w:rsidRPr="00D33726">
        <w:t xml:space="preserve">GP </w:t>
      </w:r>
      <w:r w:rsidR="00DE77CE">
        <w:t>p</w:t>
      </w:r>
      <w:r w:rsidRPr="00D33726">
        <w:t>ractice</w:t>
      </w:r>
      <w:bookmarkEnd w:id="136"/>
      <w:r w:rsidR="00DE77CE">
        <w:t>s</w:t>
      </w:r>
    </w:p>
    <w:p w:rsidR="00577CA0" w:rsidRPr="00577CA0" w:rsidRDefault="00577CA0" w:rsidP="007A2EFF">
      <w:pPr>
        <w:pStyle w:val="ListParagraph"/>
        <w:numPr>
          <w:ilvl w:val="1"/>
          <w:numId w:val="8"/>
        </w:numPr>
        <w:spacing w:after="0" w:line="240" w:lineRule="auto"/>
        <w:contextualSpacing w:val="0"/>
        <w:jc w:val="both"/>
        <w:rPr>
          <w:rFonts w:ascii="Calibri" w:eastAsia="Times New Roman" w:hAnsi="Calibri" w:cs="Calibri"/>
          <w:vanish/>
          <w:sz w:val="24"/>
          <w:szCs w:val="24"/>
        </w:rPr>
      </w:pPr>
    </w:p>
    <w:p w:rsidR="00577CA0" w:rsidRPr="00577CA0" w:rsidRDefault="00577CA0" w:rsidP="007A2EFF">
      <w:pPr>
        <w:pStyle w:val="ListParagraph"/>
        <w:numPr>
          <w:ilvl w:val="1"/>
          <w:numId w:val="8"/>
        </w:numPr>
        <w:spacing w:after="0" w:line="240" w:lineRule="auto"/>
        <w:contextualSpacing w:val="0"/>
        <w:jc w:val="both"/>
        <w:rPr>
          <w:rFonts w:ascii="Calibri" w:eastAsia="Times New Roman" w:hAnsi="Calibri" w:cs="Calibri"/>
          <w:vanish/>
          <w:sz w:val="24"/>
          <w:szCs w:val="24"/>
        </w:rPr>
      </w:pPr>
    </w:p>
    <w:p w:rsidR="00577CA0" w:rsidRPr="00577CA0" w:rsidRDefault="00577CA0" w:rsidP="007A2EFF">
      <w:pPr>
        <w:pStyle w:val="ListParagraph"/>
        <w:numPr>
          <w:ilvl w:val="0"/>
          <w:numId w:val="11"/>
        </w:numPr>
        <w:rPr>
          <w:rFonts w:ascii="Calibri" w:hAnsi="Calibri" w:cs="Calibri"/>
          <w:vanish/>
          <w:sz w:val="24"/>
          <w:szCs w:val="24"/>
        </w:rPr>
      </w:pPr>
    </w:p>
    <w:p w:rsidR="00577CA0" w:rsidRPr="00577CA0" w:rsidRDefault="00577CA0" w:rsidP="007A2EFF">
      <w:pPr>
        <w:pStyle w:val="ListParagraph"/>
        <w:numPr>
          <w:ilvl w:val="0"/>
          <w:numId w:val="11"/>
        </w:numPr>
        <w:rPr>
          <w:rFonts w:ascii="Calibri" w:hAnsi="Calibri" w:cs="Calibri"/>
          <w:vanish/>
          <w:sz w:val="24"/>
          <w:szCs w:val="24"/>
        </w:rPr>
      </w:pPr>
    </w:p>
    <w:p w:rsidR="00577CA0" w:rsidRPr="00577CA0" w:rsidRDefault="00577CA0" w:rsidP="007A2EFF">
      <w:pPr>
        <w:pStyle w:val="ListParagraph"/>
        <w:numPr>
          <w:ilvl w:val="0"/>
          <w:numId w:val="11"/>
        </w:numPr>
        <w:rPr>
          <w:rFonts w:ascii="Calibri" w:hAnsi="Calibri" w:cs="Calibri"/>
          <w:vanish/>
          <w:sz w:val="24"/>
          <w:szCs w:val="24"/>
        </w:rPr>
      </w:pPr>
    </w:p>
    <w:p w:rsidR="00577CA0" w:rsidRPr="00577CA0" w:rsidRDefault="00577CA0" w:rsidP="007A2EFF">
      <w:pPr>
        <w:pStyle w:val="ListParagraph"/>
        <w:numPr>
          <w:ilvl w:val="0"/>
          <w:numId w:val="11"/>
        </w:numPr>
        <w:rPr>
          <w:rFonts w:ascii="Calibri" w:hAnsi="Calibri" w:cs="Calibri"/>
          <w:vanish/>
          <w:sz w:val="24"/>
          <w:szCs w:val="24"/>
        </w:rPr>
      </w:pPr>
    </w:p>
    <w:p w:rsidR="00577CA0" w:rsidRPr="00577CA0" w:rsidRDefault="00577CA0" w:rsidP="007A2EFF">
      <w:pPr>
        <w:pStyle w:val="ListParagraph"/>
        <w:numPr>
          <w:ilvl w:val="0"/>
          <w:numId w:val="11"/>
        </w:numPr>
        <w:rPr>
          <w:rFonts w:ascii="Calibri" w:hAnsi="Calibri" w:cs="Calibri"/>
          <w:vanish/>
          <w:sz w:val="24"/>
          <w:szCs w:val="24"/>
        </w:rPr>
      </w:pPr>
    </w:p>
    <w:p w:rsidR="00577CA0" w:rsidRPr="00577CA0" w:rsidRDefault="00577CA0" w:rsidP="007A2EFF">
      <w:pPr>
        <w:pStyle w:val="ListParagraph"/>
        <w:numPr>
          <w:ilvl w:val="0"/>
          <w:numId w:val="11"/>
        </w:numPr>
        <w:rPr>
          <w:rFonts w:ascii="Calibri" w:hAnsi="Calibri" w:cs="Calibri"/>
          <w:vanish/>
          <w:sz w:val="24"/>
          <w:szCs w:val="24"/>
        </w:rPr>
      </w:pPr>
    </w:p>
    <w:p w:rsidR="00577CA0" w:rsidRPr="00577CA0" w:rsidRDefault="00577CA0" w:rsidP="007A2EFF">
      <w:pPr>
        <w:pStyle w:val="ListParagraph"/>
        <w:numPr>
          <w:ilvl w:val="1"/>
          <w:numId w:val="11"/>
        </w:numPr>
        <w:rPr>
          <w:rFonts w:ascii="Calibri" w:hAnsi="Calibri" w:cs="Calibri"/>
          <w:vanish/>
          <w:sz w:val="24"/>
          <w:szCs w:val="24"/>
        </w:rPr>
      </w:pPr>
    </w:p>
    <w:p w:rsidR="00577CA0" w:rsidRPr="00577CA0" w:rsidRDefault="00577CA0" w:rsidP="007A2EFF">
      <w:pPr>
        <w:pStyle w:val="ListParagraph"/>
        <w:numPr>
          <w:ilvl w:val="1"/>
          <w:numId w:val="11"/>
        </w:numPr>
        <w:rPr>
          <w:rFonts w:ascii="Calibri" w:hAnsi="Calibri" w:cs="Calibri"/>
          <w:vanish/>
          <w:sz w:val="24"/>
          <w:szCs w:val="24"/>
        </w:rPr>
      </w:pPr>
    </w:p>
    <w:p w:rsidR="00577CA0" w:rsidRPr="00577CA0" w:rsidRDefault="00577CA0" w:rsidP="007A2EFF">
      <w:pPr>
        <w:pStyle w:val="ListParagraph"/>
        <w:numPr>
          <w:ilvl w:val="1"/>
          <w:numId w:val="11"/>
        </w:numPr>
        <w:rPr>
          <w:rFonts w:ascii="Calibri" w:hAnsi="Calibri" w:cs="Calibri"/>
          <w:vanish/>
          <w:sz w:val="24"/>
          <w:szCs w:val="24"/>
        </w:rPr>
      </w:pPr>
    </w:p>
    <w:p w:rsidR="00246E6F" w:rsidRPr="0017533B" w:rsidRDefault="00246E6F" w:rsidP="0017533B">
      <w:pPr>
        <w:pStyle w:val="ListParagraph"/>
        <w:numPr>
          <w:ilvl w:val="0"/>
          <w:numId w:val="16"/>
        </w:numPr>
        <w:jc w:val="both"/>
        <w:rPr>
          <w:rFonts w:ascii="Calibri" w:hAnsi="Calibri" w:cs="Calibri"/>
          <w:sz w:val="24"/>
          <w:szCs w:val="24"/>
        </w:rPr>
      </w:pPr>
      <w:r w:rsidRPr="0017533B">
        <w:rPr>
          <w:rFonts w:ascii="Calibri" w:hAnsi="Calibri" w:cs="Calibri"/>
          <w:sz w:val="24"/>
          <w:szCs w:val="24"/>
        </w:rPr>
        <w:t>The NDO</w:t>
      </w:r>
      <w:r w:rsidR="00792479" w:rsidRPr="0017533B">
        <w:rPr>
          <w:rFonts w:ascii="Calibri" w:hAnsi="Calibri" w:cs="Calibri"/>
          <w:sz w:val="24"/>
          <w:szCs w:val="24"/>
        </w:rPr>
        <w:t>O</w:t>
      </w:r>
      <w:r w:rsidRPr="0017533B">
        <w:rPr>
          <w:rFonts w:ascii="Calibri" w:hAnsi="Calibri" w:cs="Calibri"/>
          <w:sz w:val="24"/>
          <w:szCs w:val="24"/>
        </w:rPr>
        <w:t xml:space="preserve"> does not apply to anonymised data being used for research.</w:t>
      </w:r>
    </w:p>
    <w:p w:rsidR="0013163B" w:rsidRPr="0017533B" w:rsidRDefault="0013163B" w:rsidP="0017533B">
      <w:pPr>
        <w:pStyle w:val="ListParagraph"/>
        <w:numPr>
          <w:ilvl w:val="0"/>
          <w:numId w:val="16"/>
        </w:numPr>
        <w:jc w:val="both"/>
        <w:rPr>
          <w:rFonts w:ascii="Calibri" w:hAnsi="Calibri" w:cs="Calibri"/>
          <w:sz w:val="24"/>
          <w:szCs w:val="24"/>
        </w:rPr>
      </w:pPr>
      <w:r w:rsidRPr="0017533B">
        <w:rPr>
          <w:rFonts w:ascii="Calibri" w:hAnsi="Calibri" w:cs="Calibri"/>
          <w:sz w:val="24"/>
          <w:szCs w:val="24"/>
        </w:rPr>
        <w:t xml:space="preserve">Practices will not know which patients have a </w:t>
      </w:r>
      <w:r w:rsidR="00DE77CE">
        <w:rPr>
          <w:rFonts w:ascii="Calibri" w:hAnsi="Calibri" w:cs="Calibri"/>
          <w:sz w:val="24"/>
          <w:szCs w:val="24"/>
        </w:rPr>
        <w:t>N</w:t>
      </w:r>
      <w:r w:rsidRPr="0017533B">
        <w:rPr>
          <w:rFonts w:ascii="Calibri" w:hAnsi="Calibri" w:cs="Calibri"/>
          <w:sz w:val="24"/>
          <w:szCs w:val="24"/>
        </w:rPr>
        <w:t>ational Data Opt</w:t>
      </w:r>
      <w:r w:rsidR="00DE77CE">
        <w:rPr>
          <w:rFonts w:ascii="Calibri" w:hAnsi="Calibri" w:cs="Calibri"/>
          <w:sz w:val="24"/>
          <w:szCs w:val="24"/>
        </w:rPr>
        <w:t>-</w:t>
      </w:r>
      <w:r w:rsidRPr="0017533B">
        <w:rPr>
          <w:rFonts w:ascii="Calibri" w:hAnsi="Calibri" w:cs="Calibri"/>
          <w:sz w:val="24"/>
          <w:szCs w:val="24"/>
        </w:rPr>
        <w:t>Out applied to their record, as this is held by NHS Digital</w:t>
      </w:r>
      <w:r w:rsidR="00C71987">
        <w:rPr>
          <w:rFonts w:ascii="Calibri" w:hAnsi="Calibri" w:cs="Calibri"/>
          <w:sz w:val="24"/>
          <w:szCs w:val="24"/>
        </w:rPr>
        <w:t>.</w:t>
      </w:r>
    </w:p>
    <w:p w:rsidR="00246E6F" w:rsidRPr="0017533B" w:rsidRDefault="00246E6F" w:rsidP="0017533B">
      <w:pPr>
        <w:pStyle w:val="ListParagraph"/>
        <w:numPr>
          <w:ilvl w:val="0"/>
          <w:numId w:val="16"/>
        </w:numPr>
        <w:jc w:val="both"/>
        <w:rPr>
          <w:rFonts w:ascii="Calibri" w:hAnsi="Calibri" w:cs="Calibri"/>
          <w:sz w:val="24"/>
          <w:szCs w:val="24"/>
        </w:rPr>
      </w:pPr>
      <w:r w:rsidRPr="0017533B">
        <w:rPr>
          <w:rFonts w:ascii="Calibri" w:hAnsi="Calibri" w:cs="Calibri"/>
          <w:sz w:val="24"/>
          <w:szCs w:val="24"/>
        </w:rPr>
        <w:t>The NDO</w:t>
      </w:r>
      <w:r w:rsidR="00792479" w:rsidRPr="0017533B">
        <w:rPr>
          <w:rFonts w:ascii="Calibri" w:hAnsi="Calibri" w:cs="Calibri"/>
          <w:sz w:val="24"/>
          <w:szCs w:val="24"/>
        </w:rPr>
        <w:t>O</w:t>
      </w:r>
      <w:r w:rsidRPr="0017533B">
        <w:rPr>
          <w:rFonts w:ascii="Calibri" w:hAnsi="Calibri" w:cs="Calibri"/>
          <w:sz w:val="24"/>
          <w:szCs w:val="24"/>
        </w:rPr>
        <w:t xml:space="preserve"> does not apply to mandatory data collections with CAG approval.</w:t>
      </w:r>
    </w:p>
    <w:p w:rsidR="001F0065" w:rsidRPr="0017533B" w:rsidRDefault="00246E6F" w:rsidP="0017533B">
      <w:pPr>
        <w:pStyle w:val="ListParagraph"/>
        <w:numPr>
          <w:ilvl w:val="0"/>
          <w:numId w:val="16"/>
        </w:numPr>
        <w:jc w:val="both"/>
        <w:rPr>
          <w:rFonts w:ascii="Calibri" w:eastAsia="Times New Roman" w:hAnsi="Calibri" w:cs="Calibri"/>
          <w:sz w:val="24"/>
          <w:szCs w:val="24"/>
        </w:rPr>
      </w:pPr>
      <w:bookmarkStart w:id="137" w:name="_Hlk125016068"/>
      <w:r w:rsidRPr="0017533B">
        <w:rPr>
          <w:rFonts w:ascii="Calibri" w:eastAsia="Times New Roman" w:hAnsi="Calibri" w:cs="Calibri"/>
          <w:sz w:val="24"/>
          <w:szCs w:val="24"/>
        </w:rPr>
        <w:t>The NDO</w:t>
      </w:r>
      <w:r w:rsidR="00792479" w:rsidRPr="0017533B">
        <w:rPr>
          <w:rFonts w:ascii="Calibri" w:eastAsia="Times New Roman" w:hAnsi="Calibri" w:cs="Calibri"/>
          <w:sz w:val="24"/>
          <w:szCs w:val="24"/>
        </w:rPr>
        <w:t>O</w:t>
      </w:r>
      <w:r w:rsidRPr="0017533B">
        <w:rPr>
          <w:rFonts w:ascii="Calibri" w:eastAsia="Times New Roman" w:hAnsi="Calibri" w:cs="Calibri"/>
          <w:sz w:val="24"/>
          <w:szCs w:val="24"/>
        </w:rPr>
        <w:t xml:space="preserve"> does not apply</w:t>
      </w:r>
      <w:r w:rsidR="001F0065" w:rsidRPr="0017533B">
        <w:rPr>
          <w:rFonts w:ascii="Calibri" w:eastAsia="Times New Roman" w:hAnsi="Calibri" w:cs="Calibri"/>
          <w:sz w:val="24"/>
          <w:szCs w:val="24"/>
        </w:rPr>
        <w:t xml:space="preserve"> </w:t>
      </w:r>
      <w:r w:rsidRPr="0017533B">
        <w:rPr>
          <w:rFonts w:ascii="Calibri" w:eastAsia="Times New Roman" w:hAnsi="Calibri" w:cs="Calibri"/>
          <w:sz w:val="24"/>
          <w:szCs w:val="24"/>
        </w:rPr>
        <w:t>to the disclosure of patient identifiable information for risks to public health, an overriding public interest which as reporting of patient fitness to drive, or for information required by law or a court order. </w:t>
      </w:r>
    </w:p>
    <w:bookmarkEnd w:id="137"/>
    <w:p w:rsidR="00246E6F" w:rsidRPr="00FA5945" w:rsidRDefault="00246E6F" w:rsidP="0017533B">
      <w:pPr>
        <w:pStyle w:val="ListParagraph"/>
        <w:numPr>
          <w:ilvl w:val="0"/>
          <w:numId w:val="16"/>
        </w:numPr>
        <w:jc w:val="both"/>
        <w:rPr>
          <w:rFonts w:ascii="Calibri" w:hAnsi="Calibri" w:cs="Calibri"/>
          <w:sz w:val="24"/>
          <w:szCs w:val="24"/>
        </w:rPr>
      </w:pPr>
      <w:r w:rsidRPr="0017533B">
        <w:rPr>
          <w:rFonts w:ascii="Calibri" w:hAnsi="Calibri" w:cs="Calibri"/>
          <w:b/>
          <w:bCs/>
          <w:sz w:val="24"/>
          <w:szCs w:val="24"/>
          <w:lang w:val="en" w:eastAsia="en-GB"/>
        </w:rPr>
        <w:t>Type 1</w:t>
      </w:r>
      <w:r w:rsidRPr="0017533B">
        <w:rPr>
          <w:rFonts w:ascii="Calibri" w:hAnsi="Calibri" w:cs="Calibri"/>
          <w:sz w:val="24"/>
          <w:szCs w:val="24"/>
          <w:lang w:val="en" w:eastAsia="en-GB"/>
        </w:rPr>
        <w:t xml:space="preserve"> </w:t>
      </w:r>
      <w:r w:rsidRPr="00FA5945">
        <w:rPr>
          <w:rFonts w:ascii="Calibri" w:hAnsi="Calibri" w:cs="Calibri"/>
          <w:b/>
          <w:bCs/>
          <w:sz w:val="24"/>
          <w:szCs w:val="24"/>
          <w:lang w:val="en" w:eastAsia="en-GB"/>
        </w:rPr>
        <w:t>opt</w:t>
      </w:r>
      <w:r w:rsidR="00C71987" w:rsidRPr="00FA5945">
        <w:rPr>
          <w:rFonts w:ascii="Calibri" w:hAnsi="Calibri" w:cs="Calibri"/>
          <w:b/>
          <w:bCs/>
          <w:sz w:val="24"/>
          <w:szCs w:val="24"/>
          <w:lang w:val="en" w:eastAsia="en-GB"/>
        </w:rPr>
        <w:t>-</w:t>
      </w:r>
      <w:r w:rsidRPr="00FA5945">
        <w:rPr>
          <w:rFonts w:ascii="Calibri" w:hAnsi="Calibri" w:cs="Calibri"/>
          <w:b/>
          <w:bCs/>
          <w:sz w:val="24"/>
          <w:szCs w:val="24"/>
          <w:lang w:val="en" w:eastAsia="en-GB"/>
        </w:rPr>
        <w:t>out</w:t>
      </w:r>
      <w:r w:rsidRPr="0017533B">
        <w:rPr>
          <w:rFonts w:ascii="Calibri" w:hAnsi="Calibri" w:cs="Calibri"/>
          <w:sz w:val="24"/>
          <w:szCs w:val="24"/>
          <w:lang w:val="en" w:eastAsia="en-GB"/>
        </w:rPr>
        <w:t xml:space="preserve"> –</w:t>
      </w:r>
      <w:r w:rsidR="00C71987">
        <w:rPr>
          <w:rFonts w:ascii="Calibri" w:hAnsi="Calibri" w:cs="Calibri"/>
          <w:sz w:val="24"/>
          <w:szCs w:val="24"/>
          <w:lang w:val="en" w:eastAsia="en-GB"/>
        </w:rPr>
        <w:t xml:space="preserve"> practices should</w:t>
      </w:r>
      <w:r w:rsidRPr="0017533B">
        <w:rPr>
          <w:rFonts w:ascii="Calibri" w:hAnsi="Calibri" w:cs="Calibri"/>
          <w:sz w:val="24"/>
          <w:szCs w:val="24"/>
          <w:lang w:val="en" w:eastAsia="en-GB"/>
        </w:rPr>
        <w:t xml:space="preserve"> </w:t>
      </w:r>
      <w:r w:rsidR="006B21AC" w:rsidRPr="0017533B">
        <w:rPr>
          <w:rFonts w:ascii="Calibri" w:hAnsi="Calibri" w:cs="Calibri"/>
          <w:sz w:val="24"/>
          <w:szCs w:val="24"/>
          <w:lang w:val="en" w:eastAsia="en-GB"/>
        </w:rPr>
        <w:t>use these codes to apply a Type 1 opt</w:t>
      </w:r>
      <w:r w:rsidR="00C71987">
        <w:rPr>
          <w:rFonts w:ascii="Calibri" w:hAnsi="Calibri" w:cs="Calibri"/>
          <w:sz w:val="24"/>
          <w:szCs w:val="24"/>
          <w:lang w:val="en" w:eastAsia="en-GB"/>
        </w:rPr>
        <w:t>-</w:t>
      </w:r>
      <w:r w:rsidR="006B21AC" w:rsidRPr="0017533B">
        <w:rPr>
          <w:rFonts w:ascii="Calibri" w:hAnsi="Calibri" w:cs="Calibri"/>
          <w:sz w:val="24"/>
          <w:szCs w:val="24"/>
          <w:lang w:val="en" w:eastAsia="en-GB"/>
        </w:rPr>
        <w:t>out to a patient</w:t>
      </w:r>
      <w:r w:rsidR="00C71987">
        <w:rPr>
          <w:rFonts w:ascii="Calibri" w:hAnsi="Calibri" w:cs="Calibri"/>
          <w:sz w:val="24"/>
          <w:szCs w:val="24"/>
          <w:lang w:val="en" w:eastAsia="en-GB"/>
        </w:rPr>
        <w:t>’</w:t>
      </w:r>
      <w:r w:rsidR="006B21AC" w:rsidRPr="0017533B">
        <w:rPr>
          <w:rFonts w:ascii="Calibri" w:hAnsi="Calibri" w:cs="Calibri"/>
          <w:sz w:val="24"/>
          <w:szCs w:val="24"/>
          <w:lang w:val="en" w:eastAsia="en-GB"/>
        </w:rPr>
        <w:t xml:space="preserve">s record </w:t>
      </w:r>
      <w:r w:rsidRPr="0017533B">
        <w:rPr>
          <w:rFonts w:ascii="Calibri" w:hAnsi="Calibri" w:cs="Calibri"/>
          <w:sz w:val="24"/>
          <w:szCs w:val="24"/>
          <w:lang w:val="en" w:eastAsia="en-GB"/>
        </w:rPr>
        <w:t xml:space="preserve">preventing a practice from using patient data for </w:t>
      </w:r>
      <w:r w:rsidR="006B21AC" w:rsidRPr="0017533B">
        <w:rPr>
          <w:rFonts w:ascii="Calibri" w:hAnsi="Calibri" w:cs="Calibri"/>
          <w:sz w:val="24"/>
          <w:szCs w:val="24"/>
          <w:lang w:val="en" w:eastAsia="en-GB"/>
        </w:rPr>
        <w:t xml:space="preserve">anything other their individual direct health care. </w:t>
      </w:r>
      <w:r w:rsidRPr="0017533B">
        <w:rPr>
          <w:rFonts w:ascii="Calibri" w:hAnsi="Calibri" w:cs="Calibri"/>
          <w:sz w:val="24"/>
          <w:szCs w:val="24"/>
          <w:lang w:val="en" w:eastAsia="en-GB"/>
        </w:rPr>
        <w:t xml:space="preserve"> –</w:t>
      </w:r>
      <w:r w:rsidR="00C71987">
        <w:rPr>
          <w:rFonts w:ascii="Calibri" w:hAnsi="Calibri" w:cs="Calibri"/>
          <w:sz w:val="24"/>
          <w:szCs w:val="24"/>
          <w:lang w:val="en" w:eastAsia="en-GB"/>
        </w:rPr>
        <w:t xml:space="preserve"> </w:t>
      </w:r>
      <w:r w:rsidRPr="0017533B">
        <w:rPr>
          <w:rFonts w:ascii="Calibri" w:hAnsi="Calibri" w:cs="Calibri"/>
          <w:color w:val="FF0000"/>
          <w:sz w:val="24"/>
          <w:szCs w:val="24"/>
          <w:lang w:val="en" w:eastAsia="en-GB"/>
        </w:rPr>
        <w:t xml:space="preserve">9Nu4 (Read) </w:t>
      </w:r>
      <w:r w:rsidRPr="0017533B">
        <w:rPr>
          <w:rFonts w:ascii="Calibri" w:hAnsi="Calibri" w:cs="Calibri"/>
          <w:color w:val="FF0000"/>
          <w:sz w:val="24"/>
          <w:szCs w:val="24"/>
        </w:rPr>
        <w:t>XaZ89</w:t>
      </w:r>
      <w:r w:rsidRPr="0017533B">
        <w:rPr>
          <w:rFonts w:ascii="Calibri" w:hAnsi="Calibri" w:cs="Calibri"/>
          <w:color w:val="FF0000"/>
          <w:sz w:val="24"/>
          <w:szCs w:val="24"/>
          <w:lang w:val="en" w:eastAsia="en-GB"/>
        </w:rPr>
        <w:t xml:space="preserve"> (CTV3</w:t>
      </w:r>
      <w:r w:rsidR="00FA5945" w:rsidRPr="0017533B">
        <w:rPr>
          <w:rFonts w:ascii="Calibri" w:hAnsi="Calibri" w:cs="Calibri"/>
          <w:color w:val="FF0000"/>
          <w:sz w:val="24"/>
          <w:szCs w:val="24"/>
          <w:lang w:val="en" w:eastAsia="en-GB"/>
        </w:rPr>
        <w:t>)</w:t>
      </w:r>
      <w:r w:rsidR="00FA5945" w:rsidRPr="0017533B">
        <w:rPr>
          <w:rFonts w:ascii="Calibri" w:hAnsi="Calibri" w:cs="Calibri"/>
          <w:sz w:val="24"/>
          <w:szCs w:val="24"/>
          <w:lang w:val="en" w:eastAsia="en-GB"/>
        </w:rPr>
        <w:t xml:space="preserve"> 827241000000103</w:t>
      </w:r>
      <w:r w:rsidR="00C71987">
        <w:rPr>
          <w:rFonts w:ascii="Calibri" w:hAnsi="Calibri" w:cs="Calibri"/>
          <w:sz w:val="24"/>
          <w:szCs w:val="24"/>
          <w:lang w:val="en" w:eastAsia="en-GB"/>
        </w:rPr>
        <w:t xml:space="preserve"> (SNOMED) – “</w:t>
      </w:r>
      <w:r w:rsidR="00C71987" w:rsidRPr="00C71987">
        <w:rPr>
          <w:rFonts w:ascii="Calibri" w:hAnsi="Calibri" w:cs="Calibri"/>
          <w:sz w:val="24"/>
          <w:szCs w:val="24"/>
          <w:lang w:val="en" w:eastAsia="en-GB"/>
        </w:rPr>
        <w:t>Dissent from secondary use of general practitioner patient identifiable data</w:t>
      </w:r>
      <w:r w:rsidR="00C71987">
        <w:rPr>
          <w:rFonts w:ascii="Calibri" w:hAnsi="Calibri" w:cs="Calibri"/>
          <w:sz w:val="24"/>
          <w:szCs w:val="24"/>
          <w:lang w:val="en" w:eastAsia="en-GB"/>
        </w:rPr>
        <w:t>”</w:t>
      </w:r>
    </w:p>
    <w:p w:rsidR="001857A7" w:rsidRPr="00FA5945" w:rsidRDefault="001857A7" w:rsidP="00FA5945">
      <w:pPr>
        <w:pStyle w:val="ListParagraph"/>
        <w:numPr>
          <w:ilvl w:val="0"/>
          <w:numId w:val="16"/>
        </w:numPr>
        <w:rPr>
          <w:sz w:val="24"/>
          <w:szCs w:val="24"/>
        </w:rPr>
      </w:pPr>
      <w:r w:rsidRPr="00EC3713">
        <w:rPr>
          <w:sz w:val="24"/>
          <w:szCs w:val="24"/>
          <w:lang w:val="en" w:eastAsia="en-GB"/>
        </w:rPr>
        <w:t>The NDOO and Type 1 Opt</w:t>
      </w:r>
      <w:r>
        <w:rPr>
          <w:sz w:val="24"/>
          <w:szCs w:val="24"/>
          <w:lang w:val="en" w:eastAsia="en-GB"/>
        </w:rPr>
        <w:t>-</w:t>
      </w:r>
      <w:r w:rsidRPr="00EC3713">
        <w:rPr>
          <w:sz w:val="24"/>
          <w:szCs w:val="24"/>
          <w:lang w:val="en" w:eastAsia="en-GB"/>
        </w:rPr>
        <w:t>outs are not the same as opting out of having details uploaded to the SPINE which is the Summary Care Record (SCR) Opt Out. If patients wish to opt out of having a summary care record, they will need to complete a different opt</w:t>
      </w:r>
      <w:r>
        <w:rPr>
          <w:sz w:val="24"/>
          <w:szCs w:val="24"/>
          <w:lang w:val="en" w:eastAsia="en-GB"/>
        </w:rPr>
        <w:t>-</w:t>
      </w:r>
      <w:r w:rsidRPr="00EC3713">
        <w:rPr>
          <w:sz w:val="24"/>
          <w:szCs w:val="24"/>
          <w:lang w:val="en" w:eastAsia="en-GB"/>
        </w:rPr>
        <w:t>out</w:t>
      </w:r>
      <w:r>
        <w:rPr>
          <w:sz w:val="24"/>
          <w:szCs w:val="24"/>
          <w:lang w:val="en" w:eastAsia="en-GB"/>
        </w:rPr>
        <w:t xml:space="preserve">. </w:t>
      </w:r>
      <w:r w:rsidR="00FA5945">
        <w:rPr>
          <w:sz w:val="24"/>
          <w:szCs w:val="24"/>
          <w:lang w:val="en" w:eastAsia="en-GB"/>
        </w:rPr>
        <w:t>Further</w:t>
      </w:r>
      <w:r>
        <w:rPr>
          <w:sz w:val="24"/>
          <w:szCs w:val="24"/>
          <w:lang w:val="en" w:eastAsia="en-GB"/>
        </w:rPr>
        <w:t xml:space="preserve"> information on the SCR is </w:t>
      </w:r>
      <w:hyperlink r:id="rId24" w:history="1">
        <w:r w:rsidRPr="001857A7">
          <w:rPr>
            <w:rStyle w:val="Hyperlink"/>
            <w:sz w:val="24"/>
            <w:szCs w:val="24"/>
            <w:lang w:val="en" w:eastAsia="en-GB"/>
          </w:rPr>
          <w:t>available on the NHS Digital website</w:t>
        </w:r>
      </w:hyperlink>
      <w:r>
        <w:rPr>
          <w:sz w:val="24"/>
          <w:szCs w:val="24"/>
          <w:lang w:val="en" w:eastAsia="en-GB"/>
        </w:rPr>
        <w:t>.</w:t>
      </w:r>
    </w:p>
    <w:p w:rsidR="00246E6F" w:rsidRPr="0017533B" w:rsidRDefault="00246E6F" w:rsidP="0017533B">
      <w:pPr>
        <w:pStyle w:val="ListParagraph"/>
        <w:numPr>
          <w:ilvl w:val="0"/>
          <w:numId w:val="16"/>
        </w:numPr>
        <w:jc w:val="both"/>
        <w:rPr>
          <w:rFonts w:ascii="Calibri" w:hAnsi="Calibri" w:cs="Calibri"/>
          <w:sz w:val="24"/>
          <w:szCs w:val="24"/>
        </w:rPr>
      </w:pPr>
      <w:r w:rsidRPr="0017533B">
        <w:rPr>
          <w:rFonts w:ascii="Calibri" w:hAnsi="Calibri" w:cs="Calibri"/>
          <w:sz w:val="24"/>
          <w:szCs w:val="24"/>
        </w:rPr>
        <w:t xml:space="preserve">Patients </w:t>
      </w:r>
      <w:r w:rsidR="00C71987">
        <w:rPr>
          <w:rFonts w:ascii="Calibri" w:hAnsi="Calibri" w:cs="Calibri"/>
          <w:sz w:val="24"/>
          <w:szCs w:val="24"/>
        </w:rPr>
        <w:t>can</w:t>
      </w:r>
      <w:r w:rsidRPr="0017533B">
        <w:rPr>
          <w:rFonts w:ascii="Calibri" w:hAnsi="Calibri" w:cs="Calibri"/>
          <w:sz w:val="24"/>
          <w:szCs w:val="24"/>
        </w:rPr>
        <w:t xml:space="preserve"> set their preference </w:t>
      </w:r>
      <w:r w:rsidR="006B21AC" w:rsidRPr="0017533B">
        <w:rPr>
          <w:rFonts w:ascii="Calibri" w:hAnsi="Calibri" w:cs="Calibri"/>
          <w:sz w:val="24"/>
          <w:szCs w:val="24"/>
        </w:rPr>
        <w:t>for</w:t>
      </w:r>
      <w:r w:rsidR="001857A7">
        <w:rPr>
          <w:rFonts w:ascii="Calibri" w:hAnsi="Calibri" w:cs="Calibri"/>
          <w:sz w:val="24"/>
          <w:szCs w:val="24"/>
        </w:rPr>
        <w:t xml:space="preserve"> the</w:t>
      </w:r>
      <w:r w:rsidR="006B21AC" w:rsidRPr="0017533B">
        <w:rPr>
          <w:rFonts w:ascii="Calibri" w:hAnsi="Calibri" w:cs="Calibri"/>
          <w:sz w:val="24"/>
          <w:szCs w:val="24"/>
        </w:rPr>
        <w:t xml:space="preserve"> NDOO </w:t>
      </w:r>
      <w:r w:rsidRPr="0017533B">
        <w:rPr>
          <w:rFonts w:ascii="Calibri" w:hAnsi="Calibri" w:cs="Calibri"/>
          <w:sz w:val="24"/>
          <w:szCs w:val="24"/>
        </w:rPr>
        <w:t xml:space="preserve">using the </w:t>
      </w:r>
      <w:r w:rsidRPr="0017533B">
        <w:rPr>
          <w:rFonts w:ascii="Calibri" w:hAnsi="Calibri" w:cs="Calibri"/>
          <w:b/>
          <w:bCs/>
          <w:sz w:val="24"/>
          <w:szCs w:val="24"/>
        </w:rPr>
        <w:t>NHS App</w:t>
      </w:r>
      <w:r w:rsidRPr="0017533B">
        <w:rPr>
          <w:rFonts w:ascii="Calibri" w:hAnsi="Calibri" w:cs="Calibri"/>
          <w:sz w:val="24"/>
          <w:szCs w:val="24"/>
        </w:rPr>
        <w:t>.</w:t>
      </w:r>
      <w:r w:rsidR="00C71987">
        <w:rPr>
          <w:rFonts w:ascii="Calibri" w:hAnsi="Calibri" w:cs="Calibri"/>
          <w:sz w:val="24"/>
          <w:szCs w:val="24"/>
        </w:rPr>
        <w:t xml:space="preserve"> They cannot apply a type 1 opt-out </w:t>
      </w:r>
      <w:r w:rsidR="001857A7">
        <w:rPr>
          <w:rFonts w:ascii="Calibri" w:hAnsi="Calibri" w:cs="Calibri"/>
          <w:sz w:val="24"/>
          <w:szCs w:val="24"/>
        </w:rPr>
        <w:t xml:space="preserve">or an SCR opt-out </w:t>
      </w:r>
      <w:r w:rsidR="00C71987">
        <w:rPr>
          <w:rFonts w:ascii="Calibri" w:hAnsi="Calibri" w:cs="Calibri"/>
          <w:sz w:val="24"/>
          <w:szCs w:val="24"/>
        </w:rPr>
        <w:t>using the NHS App.</w:t>
      </w:r>
    </w:p>
    <w:p w:rsidR="00246E6F" w:rsidRPr="0017533B" w:rsidRDefault="00246E6F" w:rsidP="0017533B">
      <w:pPr>
        <w:pStyle w:val="ListParagraph"/>
        <w:numPr>
          <w:ilvl w:val="0"/>
          <w:numId w:val="16"/>
        </w:numPr>
        <w:jc w:val="both"/>
        <w:rPr>
          <w:rFonts w:ascii="Calibri" w:hAnsi="Calibri" w:cs="Calibri"/>
          <w:sz w:val="24"/>
          <w:szCs w:val="24"/>
        </w:rPr>
      </w:pPr>
      <w:r w:rsidRPr="00FA5945">
        <w:rPr>
          <w:rFonts w:ascii="Calibri" w:hAnsi="Calibri" w:cs="Calibri"/>
          <w:sz w:val="24"/>
          <w:szCs w:val="24"/>
          <w:lang w:val="en" w:eastAsia="en-GB"/>
        </w:rPr>
        <w:t>Both E</w:t>
      </w:r>
      <w:r w:rsidR="00C71987" w:rsidRPr="00FA5945">
        <w:rPr>
          <w:rFonts w:ascii="Calibri" w:hAnsi="Calibri" w:cs="Calibri"/>
          <w:sz w:val="24"/>
          <w:szCs w:val="24"/>
          <w:lang w:val="en" w:eastAsia="en-GB"/>
        </w:rPr>
        <w:t>MIS</w:t>
      </w:r>
      <w:r w:rsidRPr="00FA5945">
        <w:rPr>
          <w:rFonts w:ascii="Calibri" w:hAnsi="Calibri" w:cs="Calibri"/>
          <w:sz w:val="24"/>
          <w:szCs w:val="24"/>
          <w:lang w:val="en" w:eastAsia="en-GB"/>
        </w:rPr>
        <w:t xml:space="preserve"> and </w:t>
      </w:r>
      <w:r w:rsidR="00AF2D0F" w:rsidRPr="00FA5945">
        <w:rPr>
          <w:rFonts w:ascii="Calibri" w:hAnsi="Calibri" w:cs="Calibri"/>
          <w:sz w:val="24"/>
          <w:szCs w:val="24"/>
          <w:lang w:val="en" w:eastAsia="en-GB"/>
        </w:rPr>
        <w:t xml:space="preserve">TPP </w:t>
      </w:r>
      <w:r w:rsidRPr="00FA5945">
        <w:rPr>
          <w:rFonts w:ascii="Calibri" w:hAnsi="Calibri" w:cs="Calibri"/>
          <w:sz w:val="24"/>
          <w:szCs w:val="24"/>
          <w:lang w:val="en" w:eastAsia="en-GB"/>
        </w:rPr>
        <w:t>SystmOne</w:t>
      </w:r>
      <w:r w:rsidRPr="0017533B">
        <w:rPr>
          <w:rFonts w:ascii="Calibri" w:hAnsi="Calibri" w:cs="Calibri"/>
          <w:b/>
          <w:bCs/>
          <w:sz w:val="24"/>
          <w:szCs w:val="24"/>
          <w:lang w:val="en" w:eastAsia="en-GB"/>
        </w:rPr>
        <w:t xml:space="preserve"> -</w:t>
      </w:r>
      <w:r w:rsidRPr="0017533B">
        <w:rPr>
          <w:rFonts w:ascii="Calibri" w:hAnsi="Calibri" w:cs="Calibri"/>
          <w:sz w:val="24"/>
          <w:szCs w:val="24"/>
          <w:lang w:val="en" w:eastAsia="en-GB"/>
        </w:rPr>
        <w:t> </w:t>
      </w:r>
      <w:r w:rsidR="00E81003">
        <w:rPr>
          <w:rFonts w:ascii="Calibri" w:hAnsi="Calibri" w:cs="Calibri"/>
          <w:sz w:val="24"/>
          <w:szCs w:val="24"/>
          <w:lang w:val="en" w:eastAsia="en-GB"/>
        </w:rPr>
        <w:t>are implementing the Check for National Data Opt-Outs functionality directly within their clinical systems. GP practices only need to install the MESH service separately if they disclose data outside their clinical systems.</w:t>
      </w:r>
    </w:p>
    <w:p w:rsidR="00246E6F" w:rsidRPr="00512653" w:rsidRDefault="00246E6F" w:rsidP="0017533B">
      <w:pPr>
        <w:pStyle w:val="ListParagraph"/>
        <w:numPr>
          <w:ilvl w:val="0"/>
          <w:numId w:val="16"/>
        </w:numPr>
        <w:jc w:val="both"/>
      </w:pPr>
      <w:r w:rsidRPr="0017533B">
        <w:rPr>
          <w:rFonts w:ascii="Calibri" w:hAnsi="Calibri" w:cs="Calibri"/>
          <w:b/>
          <w:bCs/>
          <w:sz w:val="24"/>
          <w:szCs w:val="24"/>
        </w:rPr>
        <w:t>Research</w:t>
      </w:r>
      <w:r w:rsidRPr="0017533B">
        <w:rPr>
          <w:rFonts w:ascii="Calibri" w:hAnsi="Calibri" w:cs="Calibri"/>
          <w:sz w:val="24"/>
          <w:szCs w:val="24"/>
        </w:rPr>
        <w:t xml:space="preserve"> – if the practice is invited to take part in research:</w:t>
      </w:r>
    </w:p>
    <w:p w:rsidR="00551F3C" w:rsidRPr="00551F3C" w:rsidRDefault="00551F3C" w:rsidP="007A2EFF">
      <w:pPr>
        <w:pStyle w:val="ListParagraph"/>
        <w:numPr>
          <w:ilvl w:val="0"/>
          <w:numId w:val="1"/>
        </w:numPr>
        <w:spacing w:after="0" w:line="240" w:lineRule="auto"/>
        <w:rPr>
          <w:rFonts w:ascii="Calibri" w:eastAsia="Times New Roman" w:hAnsi="Calibri" w:cs="Calibri"/>
          <w:vanish/>
          <w:sz w:val="24"/>
          <w:szCs w:val="24"/>
        </w:rPr>
      </w:pPr>
    </w:p>
    <w:p w:rsidR="00551F3C" w:rsidRPr="00551F3C" w:rsidRDefault="00551F3C" w:rsidP="007A2EFF">
      <w:pPr>
        <w:pStyle w:val="ListParagraph"/>
        <w:numPr>
          <w:ilvl w:val="0"/>
          <w:numId w:val="1"/>
        </w:numPr>
        <w:spacing w:after="0" w:line="240" w:lineRule="auto"/>
        <w:rPr>
          <w:rFonts w:ascii="Calibri" w:eastAsia="Times New Roman" w:hAnsi="Calibri" w:cs="Calibri"/>
          <w:vanish/>
          <w:sz w:val="24"/>
          <w:szCs w:val="24"/>
        </w:rPr>
      </w:pPr>
    </w:p>
    <w:p w:rsidR="00551F3C" w:rsidRPr="00551F3C" w:rsidRDefault="00551F3C" w:rsidP="007A2EFF">
      <w:pPr>
        <w:pStyle w:val="ListParagraph"/>
        <w:numPr>
          <w:ilvl w:val="0"/>
          <w:numId w:val="1"/>
        </w:numPr>
        <w:spacing w:after="0" w:line="240" w:lineRule="auto"/>
        <w:rPr>
          <w:rFonts w:ascii="Calibri" w:eastAsia="Times New Roman" w:hAnsi="Calibri" w:cs="Calibri"/>
          <w:vanish/>
          <w:sz w:val="24"/>
          <w:szCs w:val="24"/>
        </w:rPr>
      </w:pPr>
    </w:p>
    <w:p w:rsidR="00551F3C" w:rsidRPr="00551F3C" w:rsidRDefault="00551F3C" w:rsidP="007A2EFF">
      <w:pPr>
        <w:pStyle w:val="ListParagraph"/>
        <w:numPr>
          <w:ilvl w:val="0"/>
          <w:numId w:val="1"/>
        </w:numPr>
        <w:spacing w:after="0" w:line="240" w:lineRule="auto"/>
        <w:rPr>
          <w:rFonts w:ascii="Calibri" w:eastAsia="Times New Roman" w:hAnsi="Calibri" w:cs="Calibri"/>
          <w:vanish/>
          <w:sz w:val="24"/>
          <w:szCs w:val="24"/>
        </w:rPr>
      </w:pPr>
    </w:p>
    <w:p w:rsidR="00551F3C" w:rsidRPr="00551F3C" w:rsidRDefault="00551F3C" w:rsidP="007A2EFF">
      <w:pPr>
        <w:pStyle w:val="ListParagraph"/>
        <w:numPr>
          <w:ilvl w:val="0"/>
          <w:numId w:val="1"/>
        </w:numPr>
        <w:spacing w:after="0" w:line="240" w:lineRule="auto"/>
        <w:rPr>
          <w:rFonts w:ascii="Calibri" w:eastAsia="Times New Roman" w:hAnsi="Calibri" w:cs="Calibri"/>
          <w:vanish/>
          <w:sz w:val="24"/>
          <w:szCs w:val="24"/>
        </w:rPr>
      </w:pPr>
    </w:p>
    <w:p w:rsidR="00551F3C" w:rsidRPr="00551F3C" w:rsidRDefault="00551F3C" w:rsidP="007A2EFF">
      <w:pPr>
        <w:pStyle w:val="ListParagraph"/>
        <w:numPr>
          <w:ilvl w:val="0"/>
          <w:numId w:val="1"/>
        </w:numPr>
        <w:spacing w:after="0" w:line="240" w:lineRule="auto"/>
        <w:rPr>
          <w:rFonts w:ascii="Calibri" w:eastAsia="Times New Roman" w:hAnsi="Calibri" w:cs="Calibri"/>
          <w:vanish/>
          <w:sz w:val="24"/>
          <w:szCs w:val="24"/>
        </w:rPr>
      </w:pPr>
    </w:p>
    <w:p w:rsidR="00551F3C" w:rsidRPr="00551F3C" w:rsidRDefault="00551F3C" w:rsidP="007A2EFF">
      <w:pPr>
        <w:pStyle w:val="ListParagraph"/>
        <w:numPr>
          <w:ilvl w:val="1"/>
          <w:numId w:val="1"/>
        </w:numPr>
        <w:spacing w:after="0" w:line="240" w:lineRule="auto"/>
        <w:rPr>
          <w:rFonts w:ascii="Calibri" w:eastAsia="Times New Roman" w:hAnsi="Calibri" w:cs="Calibri"/>
          <w:vanish/>
          <w:sz w:val="24"/>
          <w:szCs w:val="24"/>
        </w:rPr>
      </w:pPr>
    </w:p>
    <w:p w:rsidR="00551F3C" w:rsidRPr="00551F3C" w:rsidRDefault="00551F3C" w:rsidP="007A2EFF">
      <w:pPr>
        <w:pStyle w:val="ListParagraph"/>
        <w:numPr>
          <w:ilvl w:val="1"/>
          <w:numId w:val="1"/>
        </w:numPr>
        <w:spacing w:after="0" w:line="240" w:lineRule="auto"/>
        <w:rPr>
          <w:rFonts w:ascii="Calibri" w:eastAsia="Times New Roman" w:hAnsi="Calibri" w:cs="Calibri"/>
          <w:vanish/>
          <w:sz w:val="24"/>
          <w:szCs w:val="24"/>
        </w:rPr>
      </w:pPr>
    </w:p>
    <w:p w:rsidR="00551F3C" w:rsidRPr="00551F3C" w:rsidRDefault="00551F3C" w:rsidP="007A2EFF">
      <w:pPr>
        <w:pStyle w:val="ListParagraph"/>
        <w:numPr>
          <w:ilvl w:val="1"/>
          <w:numId w:val="1"/>
        </w:numPr>
        <w:spacing w:after="0" w:line="240" w:lineRule="auto"/>
        <w:rPr>
          <w:rFonts w:ascii="Calibri" w:eastAsia="Times New Roman" w:hAnsi="Calibri" w:cs="Calibri"/>
          <w:vanish/>
          <w:sz w:val="24"/>
          <w:szCs w:val="24"/>
        </w:rPr>
      </w:pPr>
    </w:p>
    <w:p w:rsidR="00551F3C" w:rsidRPr="00551F3C" w:rsidRDefault="00551F3C" w:rsidP="007A2EFF">
      <w:pPr>
        <w:pStyle w:val="ListParagraph"/>
        <w:numPr>
          <w:ilvl w:val="2"/>
          <w:numId w:val="1"/>
        </w:numPr>
        <w:spacing w:after="0" w:line="240" w:lineRule="auto"/>
        <w:rPr>
          <w:rFonts w:ascii="Calibri" w:eastAsia="Times New Roman" w:hAnsi="Calibri" w:cs="Calibri"/>
          <w:vanish/>
          <w:sz w:val="24"/>
          <w:szCs w:val="24"/>
        </w:rPr>
      </w:pPr>
    </w:p>
    <w:p w:rsidR="00551F3C" w:rsidRPr="00551F3C" w:rsidRDefault="00551F3C" w:rsidP="007A2EFF">
      <w:pPr>
        <w:pStyle w:val="ListParagraph"/>
        <w:numPr>
          <w:ilvl w:val="2"/>
          <w:numId w:val="1"/>
        </w:numPr>
        <w:spacing w:after="0" w:line="240" w:lineRule="auto"/>
        <w:rPr>
          <w:rFonts w:ascii="Calibri" w:eastAsia="Times New Roman" w:hAnsi="Calibri" w:cs="Calibri"/>
          <w:vanish/>
          <w:sz w:val="24"/>
          <w:szCs w:val="24"/>
        </w:rPr>
      </w:pPr>
    </w:p>
    <w:p w:rsidR="00551F3C" w:rsidRPr="00551F3C" w:rsidRDefault="00551F3C" w:rsidP="007A2EFF">
      <w:pPr>
        <w:pStyle w:val="ListParagraph"/>
        <w:numPr>
          <w:ilvl w:val="2"/>
          <w:numId w:val="1"/>
        </w:numPr>
        <w:spacing w:after="0" w:line="240" w:lineRule="auto"/>
        <w:rPr>
          <w:rFonts w:ascii="Calibri" w:eastAsia="Times New Roman" w:hAnsi="Calibri" w:cs="Calibri"/>
          <w:vanish/>
          <w:sz w:val="24"/>
          <w:szCs w:val="24"/>
        </w:rPr>
      </w:pPr>
    </w:p>
    <w:p w:rsidR="00551F3C" w:rsidRPr="00551F3C" w:rsidRDefault="00551F3C" w:rsidP="007A2EFF">
      <w:pPr>
        <w:pStyle w:val="ListParagraph"/>
        <w:numPr>
          <w:ilvl w:val="2"/>
          <w:numId w:val="1"/>
        </w:numPr>
        <w:spacing w:after="0" w:line="240" w:lineRule="auto"/>
        <w:rPr>
          <w:rFonts w:ascii="Calibri" w:eastAsia="Times New Roman" w:hAnsi="Calibri" w:cs="Calibri"/>
          <w:vanish/>
          <w:sz w:val="24"/>
          <w:szCs w:val="24"/>
        </w:rPr>
      </w:pPr>
    </w:p>
    <w:p w:rsidR="00551F3C" w:rsidRPr="00551F3C" w:rsidRDefault="00551F3C" w:rsidP="007A2EFF">
      <w:pPr>
        <w:pStyle w:val="ListParagraph"/>
        <w:numPr>
          <w:ilvl w:val="2"/>
          <w:numId w:val="1"/>
        </w:numPr>
        <w:spacing w:after="0" w:line="240" w:lineRule="auto"/>
        <w:rPr>
          <w:rFonts w:ascii="Calibri" w:eastAsia="Times New Roman" w:hAnsi="Calibri" w:cs="Calibri"/>
          <w:vanish/>
          <w:sz w:val="24"/>
          <w:szCs w:val="24"/>
        </w:rPr>
      </w:pPr>
    </w:p>
    <w:p w:rsidR="00551F3C" w:rsidRPr="00551F3C" w:rsidRDefault="00551F3C" w:rsidP="007A2EFF">
      <w:pPr>
        <w:pStyle w:val="ListParagraph"/>
        <w:numPr>
          <w:ilvl w:val="2"/>
          <w:numId w:val="1"/>
        </w:numPr>
        <w:spacing w:after="0" w:line="240" w:lineRule="auto"/>
        <w:rPr>
          <w:rFonts w:ascii="Calibri" w:eastAsia="Times New Roman" w:hAnsi="Calibri" w:cs="Calibri"/>
          <w:vanish/>
          <w:sz w:val="24"/>
          <w:szCs w:val="24"/>
        </w:rPr>
      </w:pPr>
    </w:p>
    <w:p w:rsidR="00551F3C" w:rsidRPr="00551F3C" w:rsidRDefault="00551F3C" w:rsidP="007A2EFF">
      <w:pPr>
        <w:pStyle w:val="ListParagraph"/>
        <w:numPr>
          <w:ilvl w:val="2"/>
          <w:numId w:val="1"/>
        </w:numPr>
        <w:spacing w:after="0" w:line="240" w:lineRule="auto"/>
        <w:rPr>
          <w:rFonts w:ascii="Calibri" w:eastAsia="Times New Roman" w:hAnsi="Calibri" w:cs="Calibri"/>
          <w:vanish/>
          <w:sz w:val="24"/>
          <w:szCs w:val="24"/>
        </w:rPr>
      </w:pPr>
    </w:p>
    <w:p w:rsidR="00551F3C" w:rsidRPr="00551F3C" w:rsidRDefault="00551F3C" w:rsidP="007A2EFF">
      <w:pPr>
        <w:pStyle w:val="ListParagraph"/>
        <w:numPr>
          <w:ilvl w:val="2"/>
          <w:numId w:val="1"/>
        </w:numPr>
        <w:spacing w:after="0" w:line="240" w:lineRule="auto"/>
        <w:rPr>
          <w:rFonts w:ascii="Calibri" w:eastAsia="Times New Roman" w:hAnsi="Calibri" w:cs="Calibri"/>
          <w:vanish/>
          <w:sz w:val="24"/>
          <w:szCs w:val="24"/>
        </w:rPr>
      </w:pPr>
    </w:p>
    <w:p w:rsidR="00792BC7" w:rsidRPr="0017533B" w:rsidRDefault="00246E6F" w:rsidP="0017533B">
      <w:pPr>
        <w:pStyle w:val="ListParagraph"/>
        <w:numPr>
          <w:ilvl w:val="0"/>
          <w:numId w:val="17"/>
        </w:numPr>
        <w:spacing w:after="0" w:line="240" w:lineRule="auto"/>
        <w:rPr>
          <w:rFonts w:ascii="Calibri" w:hAnsi="Calibri" w:cs="Calibri"/>
          <w:sz w:val="24"/>
          <w:szCs w:val="24"/>
        </w:rPr>
      </w:pPr>
      <w:r w:rsidRPr="0017533B">
        <w:rPr>
          <w:rFonts w:ascii="Calibri" w:eastAsia="Times New Roman" w:hAnsi="Calibri" w:cs="Calibri"/>
          <w:sz w:val="24"/>
          <w:szCs w:val="24"/>
        </w:rPr>
        <w:t>If the research has Section 251 approval from the CAG in 2019-20</w:t>
      </w:r>
      <w:r w:rsidR="00AF2D0F" w:rsidRPr="0017533B">
        <w:rPr>
          <w:rFonts w:ascii="Calibri" w:eastAsia="Times New Roman" w:hAnsi="Calibri" w:cs="Calibri"/>
          <w:sz w:val="24"/>
          <w:szCs w:val="24"/>
        </w:rPr>
        <w:t>,</w:t>
      </w:r>
      <w:r w:rsidRPr="0017533B">
        <w:rPr>
          <w:rFonts w:ascii="Calibri" w:eastAsia="Times New Roman" w:hAnsi="Calibri" w:cs="Calibri"/>
          <w:sz w:val="24"/>
          <w:szCs w:val="24"/>
        </w:rPr>
        <w:t xml:space="preserve"> it </w:t>
      </w:r>
      <w:r w:rsidR="00B308E0" w:rsidRPr="0017533B">
        <w:rPr>
          <w:rFonts w:ascii="Calibri" w:eastAsia="Times New Roman" w:hAnsi="Calibri" w:cs="Calibri"/>
          <w:sz w:val="24"/>
          <w:szCs w:val="24"/>
        </w:rPr>
        <w:t>may be</w:t>
      </w:r>
      <w:r w:rsidRPr="0017533B">
        <w:rPr>
          <w:rFonts w:ascii="Calibri" w:eastAsia="Times New Roman" w:hAnsi="Calibri" w:cs="Calibri"/>
          <w:sz w:val="24"/>
          <w:szCs w:val="24"/>
        </w:rPr>
        <w:t xml:space="preserve"> </w:t>
      </w:r>
      <w:r w:rsidR="00792BC7" w:rsidRPr="0017533B">
        <w:rPr>
          <w:rFonts w:ascii="Calibri" w:eastAsia="Times New Roman" w:hAnsi="Calibri" w:cs="Calibri"/>
          <w:sz w:val="24"/>
          <w:szCs w:val="24"/>
        </w:rPr>
        <w:t>within the scope of NDO</w:t>
      </w:r>
      <w:r w:rsidR="006B21AC" w:rsidRPr="0017533B">
        <w:rPr>
          <w:rFonts w:ascii="Calibri" w:eastAsia="Times New Roman" w:hAnsi="Calibri" w:cs="Calibri"/>
          <w:sz w:val="24"/>
          <w:szCs w:val="24"/>
        </w:rPr>
        <w:t>O</w:t>
      </w:r>
      <w:r w:rsidR="00792BC7" w:rsidRPr="0017533B">
        <w:rPr>
          <w:rFonts w:ascii="Calibri" w:eastAsia="Times New Roman" w:hAnsi="Calibri" w:cs="Calibri"/>
          <w:sz w:val="24"/>
          <w:szCs w:val="24"/>
        </w:rPr>
        <w:t>.</w:t>
      </w:r>
    </w:p>
    <w:p w:rsidR="00551F3C" w:rsidRDefault="007140DB" w:rsidP="00551F3C">
      <w:pPr>
        <w:spacing w:after="0" w:line="240" w:lineRule="auto"/>
        <w:ind w:left="2127" w:hanging="2127"/>
        <w:jc w:val="center"/>
        <w:rPr>
          <w:rFonts w:ascii="Calibri" w:hAnsi="Calibri" w:cs="Calibri"/>
          <w:sz w:val="24"/>
          <w:szCs w:val="24"/>
        </w:rPr>
      </w:pPr>
      <w:r w:rsidRPr="00512653">
        <w:rPr>
          <w:rFonts w:ascii="Calibri" w:hAnsi="Calibri" w:cs="Calibri"/>
          <w:noProof/>
          <w:sz w:val="24"/>
          <w:szCs w:val="24"/>
          <w:lang w:eastAsia="en-GB"/>
        </w:rPr>
        <w:drawing>
          <wp:inline distT="0" distB="0" distL="0" distR="0" wp14:anchorId="7DFE3F69" wp14:editId="798CEEEC">
            <wp:extent cx="5123854" cy="53530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192447" cy="5424711"/>
                    </a:xfrm>
                    <a:prstGeom prst="rect">
                      <a:avLst/>
                    </a:prstGeom>
                  </pic:spPr>
                </pic:pic>
              </a:graphicData>
            </a:graphic>
          </wp:inline>
        </w:drawing>
      </w:r>
    </w:p>
    <w:p w:rsidR="00792BC7" w:rsidRPr="00512653" w:rsidRDefault="00792BC7" w:rsidP="00551F3C">
      <w:pPr>
        <w:spacing w:after="0" w:line="240" w:lineRule="auto"/>
        <w:ind w:left="2127" w:hanging="2127"/>
        <w:jc w:val="center"/>
        <w:rPr>
          <w:rFonts w:ascii="Calibri" w:hAnsi="Calibri" w:cs="Calibri"/>
          <w:sz w:val="24"/>
          <w:szCs w:val="24"/>
        </w:rPr>
      </w:pPr>
    </w:p>
    <w:p w:rsidR="00A12625" w:rsidRPr="00512653" w:rsidRDefault="00A12625" w:rsidP="00512653">
      <w:pPr>
        <w:spacing w:after="0" w:line="240" w:lineRule="auto"/>
        <w:ind w:left="2127" w:hanging="851"/>
        <w:rPr>
          <w:rFonts w:ascii="Calibri" w:hAnsi="Calibri" w:cs="Calibri"/>
          <w:sz w:val="24"/>
          <w:szCs w:val="24"/>
        </w:rPr>
      </w:pPr>
    </w:p>
    <w:p w:rsidR="00551F3C" w:rsidRPr="00551F3C" w:rsidRDefault="00551F3C" w:rsidP="007A2EFF">
      <w:pPr>
        <w:pStyle w:val="ListParagraph"/>
        <w:numPr>
          <w:ilvl w:val="0"/>
          <w:numId w:val="2"/>
        </w:numPr>
        <w:spacing w:after="0" w:line="240" w:lineRule="auto"/>
        <w:contextualSpacing w:val="0"/>
        <w:rPr>
          <w:rFonts w:ascii="Calibri" w:eastAsia="Times New Roman" w:hAnsi="Calibri" w:cs="Calibri"/>
          <w:vanish/>
          <w:sz w:val="24"/>
          <w:szCs w:val="24"/>
        </w:rPr>
      </w:pPr>
    </w:p>
    <w:p w:rsidR="00551F3C" w:rsidRPr="00551F3C" w:rsidRDefault="00551F3C" w:rsidP="007A2EFF">
      <w:pPr>
        <w:pStyle w:val="ListParagraph"/>
        <w:numPr>
          <w:ilvl w:val="0"/>
          <w:numId w:val="2"/>
        </w:numPr>
        <w:spacing w:after="0" w:line="240" w:lineRule="auto"/>
        <w:contextualSpacing w:val="0"/>
        <w:rPr>
          <w:rFonts w:ascii="Calibri" w:eastAsia="Times New Roman" w:hAnsi="Calibri" w:cs="Calibri"/>
          <w:vanish/>
          <w:sz w:val="24"/>
          <w:szCs w:val="24"/>
        </w:rPr>
      </w:pPr>
    </w:p>
    <w:p w:rsidR="00551F3C" w:rsidRPr="00551F3C" w:rsidRDefault="00551F3C" w:rsidP="007A2EFF">
      <w:pPr>
        <w:pStyle w:val="ListParagraph"/>
        <w:numPr>
          <w:ilvl w:val="0"/>
          <w:numId w:val="2"/>
        </w:numPr>
        <w:spacing w:after="0" w:line="240" w:lineRule="auto"/>
        <w:contextualSpacing w:val="0"/>
        <w:rPr>
          <w:rFonts w:ascii="Calibri" w:eastAsia="Times New Roman" w:hAnsi="Calibri" w:cs="Calibri"/>
          <w:vanish/>
          <w:sz w:val="24"/>
          <w:szCs w:val="24"/>
        </w:rPr>
      </w:pPr>
    </w:p>
    <w:p w:rsidR="00551F3C" w:rsidRPr="00551F3C" w:rsidRDefault="00551F3C" w:rsidP="007A2EFF">
      <w:pPr>
        <w:pStyle w:val="ListParagraph"/>
        <w:numPr>
          <w:ilvl w:val="0"/>
          <w:numId w:val="2"/>
        </w:numPr>
        <w:spacing w:after="0" w:line="240" w:lineRule="auto"/>
        <w:contextualSpacing w:val="0"/>
        <w:rPr>
          <w:rFonts w:ascii="Calibri" w:eastAsia="Times New Roman" w:hAnsi="Calibri" w:cs="Calibri"/>
          <w:vanish/>
          <w:sz w:val="24"/>
          <w:szCs w:val="24"/>
        </w:rPr>
      </w:pPr>
    </w:p>
    <w:p w:rsidR="00551F3C" w:rsidRPr="00551F3C" w:rsidRDefault="00551F3C" w:rsidP="007A2EFF">
      <w:pPr>
        <w:pStyle w:val="ListParagraph"/>
        <w:numPr>
          <w:ilvl w:val="0"/>
          <w:numId w:val="2"/>
        </w:numPr>
        <w:spacing w:after="0" w:line="240" w:lineRule="auto"/>
        <w:contextualSpacing w:val="0"/>
        <w:rPr>
          <w:rFonts w:ascii="Calibri" w:eastAsia="Times New Roman" w:hAnsi="Calibri" w:cs="Calibri"/>
          <w:vanish/>
          <w:sz w:val="24"/>
          <w:szCs w:val="24"/>
        </w:rPr>
      </w:pPr>
    </w:p>
    <w:p w:rsidR="00551F3C" w:rsidRPr="00551F3C" w:rsidRDefault="00551F3C" w:rsidP="007A2EFF">
      <w:pPr>
        <w:pStyle w:val="ListParagraph"/>
        <w:numPr>
          <w:ilvl w:val="0"/>
          <w:numId w:val="2"/>
        </w:numPr>
        <w:spacing w:after="0" w:line="240" w:lineRule="auto"/>
        <w:contextualSpacing w:val="0"/>
        <w:rPr>
          <w:rFonts w:ascii="Calibri" w:eastAsia="Times New Roman" w:hAnsi="Calibri" w:cs="Calibri"/>
          <w:vanish/>
          <w:sz w:val="24"/>
          <w:szCs w:val="24"/>
        </w:rPr>
      </w:pPr>
    </w:p>
    <w:p w:rsidR="00551F3C" w:rsidRPr="00551F3C" w:rsidRDefault="00551F3C" w:rsidP="007A2EFF">
      <w:pPr>
        <w:pStyle w:val="ListParagraph"/>
        <w:numPr>
          <w:ilvl w:val="1"/>
          <w:numId w:val="2"/>
        </w:numPr>
        <w:spacing w:after="0" w:line="240" w:lineRule="auto"/>
        <w:contextualSpacing w:val="0"/>
        <w:rPr>
          <w:rFonts w:ascii="Calibri" w:eastAsia="Times New Roman" w:hAnsi="Calibri" w:cs="Calibri"/>
          <w:vanish/>
          <w:sz w:val="24"/>
          <w:szCs w:val="24"/>
        </w:rPr>
      </w:pPr>
    </w:p>
    <w:p w:rsidR="00551F3C" w:rsidRPr="00551F3C" w:rsidRDefault="00551F3C" w:rsidP="007A2EFF">
      <w:pPr>
        <w:pStyle w:val="ListParagraph"/>
        <w:numPr>
          <w:ilvl w:val="1"/>
          <w:numId w:val="2"/>
        </w:numPr>
        <w:spacing w:after="0" w:line="240" w:lineRule="auto"/>
        <w:contextualSpacing w:val="0"/>
        <w:rPr>
          <w:rFonts w:ascii="Calibri" w:eastAsia="Times New Roman" w:hAnsi="Calibri" w:cs="Calibri"/>
          <w:vanish/>
          <w:sz w:val="24"/>
          <w:szCs w:val="24"/>
        </w:rPr>
      </w:pPr>
    </w:p>
    <w:p w:rsidR="00551F3C" w:rsidRPr="00551F3C" w:rsidRDefault="00551F3C" w:rsidP="007A2EFF">
      <w:pPr>
        <w:pStyle w:val="ListParagraph"/>
        <w:numPr>
          <w:ilvl w:val="1"/>
          <w:numId w:val="2"/>
        </w:numPr>
        <w:spacing w:after="0" w:line="240" w:lineRule="auto"/>
        <w:contextualSpacing w:val="0"/>
        <w:rPr>
          <w:rFonts w:ascii="Calibri" w:eastAsia="Times New Roman" w:hAnsi="Calibri" w:cs="Calibri"/>
          <w:vanish/>
          <w:sz w:val="24"/>
          <w:szCs w:val="24"/>
        </w:rPr>
      </w:pPr>
    </w:p>
    <w:p w:rsidR="00551F3C" w:rsidRPr="00551F3C" w:rsidRDefault="00551F3C" w:rsidP="007A2EFF">
      <w:pPr>
        <w:pStyle w:val="ListParagraph"/>
        <w:numPr>
          <w:ilvl w:val="2"/>
          <w:numId w:val="2"/>
        </w:numPr>
        <w:spacing w:after="0" w:line="240" w:lineRule="auto"/>
        <w:contextualSpacing w:val="0"/>
        <w:rPr>
          <w:rFonts w:ascii="Calibri" w:eastAsia="Times New Roman" w:hAnsi="Calibri" w:cs="Calibri"/>
          <w:vanish/>
          <w:sz w:val="24"/>
          <w:szCs w:val="24"/>
        </w:rPr>
      </w:pPr>
    </w:p>
    <w:p w:rsidR="00551F3C" w:rsidRPr="00551F3C" w:rsidRDefault="00551F3C" w:rsidP="007A2EFF">
      <w:pPr>
        <w:pStyle w:val="ListParagraph"/>
        <w:numPr>
          <w:ilvl w:val="2"/>
          <w:numId w:val="2"/>
        </w:numPr>
        <w:spacing w:after="0" w:line="240" w:lineRule="auto"/>
        <w:contextualSpacing w:val="0"/>
        <w:rPr>
          <w:rFonts w:ascii="Calibri" w:eastAsia="Times New Roman" w:hAnsi="Calibri" w:cs="Calibri"/>
          <w:vanish/>
          <w:sz w:val="24"/>
          <w:szCs w:val="24"/>
        </w:rPr>
      </w:pPr>
    </w:p>
    <w:p w:rsidR="00551F3C" w:rsidRPr="00551F3C" w:rsidRDefault="00551F3C" w:rsidP="007A2EFF">
      <w:pPr>
        <w:pStyle w:val="ListParagraph"/>
        <w:numPr>
          <w:ilvl w:val="2"/>
          <w:numId w:val="2"/>
        </w:numPr>
        <w:spacing w:after="0" w:line="240" w:lineRule="auto"/>
        <w:contextualSpacing w:val="0"/>
        <w:rPr>
          <w:rFonts w:ascii="Calibri" w:eastAsia="Times New Roman" w:hAnsi="Calibri" w:cs="Calibri"/>
          <w:vanish/>
          <w:sz w:val="24"/>
          <w:szCs w:val="24"/>
        </w:rPr>
      </w:pPr>
    </w:p>
    <w:p w:rsidR="00551F3C" w:rsidRPr="00551F3C" w:rsidRDefault="00551F3C" w:rsidP="007A2EFF">
      <w:pPr>
        <w:pStyle w:val="ListParagraph"/>
        <w:numPr>
          <w:ilvl w:val="2"/>
          <w:numId w:val="2"/>
        </w:numPr>
        <w:spacing w:after="0" w:line="240" w:lineRule="auto"/>
        <w:contextualSpacing w:val="0"/>
        <w:rPr>
          <w:rFonts w:ascii="Calibri" w:eastAsia="Times New Roman" w:hAnsi="Calibri" w:cs="Calibri"/>
          <w:vanish/>
          <w:sz w:val="24"/>
          <w:szCs w:val="24"/>
        </w:rPr>
      </w:pPr>
    </w:p>
    <w:p w:rsidR="00551F3C" w:rsidRPr="00551F3C" w:rsidRDefault="00551F3C" w:rsidP="007A2EFF">
      <w:pPr>
        <w:pStyle w:val="ListParagraph"/>
        <w:numPr>
          <w:ilvl w:val="2"/>
          <w:numId w:val="2"/>
        </w:numPr>
        <w:spacing w:after="0" w:line="240" w:lineRule="auto"/>
        <w:contextualSpacing w:val="0"/>
        <w:rPr>
          <w:rFonts w:ascii="Calibri" w:eastAsia="Times New Roman" w:hAnsi="Calibri" w:cs="Calibri"/>
          <w:vanish/>
          <w:sz w:val="24"/>
          <w:szCs w:val="24"/>
        </w:rPr>
      </w:pPr>
    </w:p>
    <w:p w:rsidR="00551F3C" w:rsidRPr="00551F3C" w:rsidRDefault="00551F3C" w:rsidP="007A2EFF">
      <w:pPr>
        <w:pStyle w:val="ListParagraph"/>
        <w:numPr>
          <w:ilvl w:val="2"/>
          <w:numId w:val="2"/>
        </w:numPr>
        <w:spacing w:after="0" w:line="240" w:lineRule="auto"/>
        <w:contextualSpacing w:val="0"/>
        <w:rPr>
          <w:rFonts w:ascii="Calibri" w:eastAsia="Times New Roman" w:hAnsi="Calibri" w:cs="Calibri"/>
          <w:vanish/>
          <w:sz w:val="24"/>
          <w:szCs w:val="24"/>
        </w:rPr>
      </w:pPr>
    </w:p>
    <w:p w:rsidR="00551F3C" w:rsidRPr="00551F3C" w:rsidRDefault="00551F3C" w:rsidP="007A2EFF">
      <w:pPr>
        <w:pStyle w:val="ListParagraph"/>
        <w:numPr>
          <w:ilvl w:val="2"/>
          <w:numId w:val="2"/>
        </w:numPr>
        <w:spacing w:after="0" w:line="240" w:lineRule="auto"/>
        <w:contextualSpacing w:val="0"/>
        <w:rPr>
          <w:rFonts w:ascii="Calibri" w:eastAsia="Times New Roman" w:hAnsi="Calibri" w:cs="Calibri"/>
          <w:vanish/>
          <w:sz w:val="24"/>
          <w:szCs w:val="24"/>
        </w:rPr>
      </w:pPr>
    </w:p>
    <w:p w:rsidR="00551F3C" w:rsidRPr="00551F3C" w:rsidRDefault="00551F3C" w:rsidP="007A2EFF">
      <w:pPr>
        <w:pStyle w:val="ListParagraph"/>
        <w:numPr>
          <w:ilvl w:val="2"/>
          <w:numId w:val="2"/>
        </w:numPr>
        <w:spacing w:after="0" w:line="240" w:lineRule="auto"/>
        <w:contextualSpacing w:val="0"/>
        <w:rPr>
          <w:rFonts w:ascii="Calibri" w:eastAsia="Times New Roman" w:hAnsi="Calibri" w:cs="Calibri"/>
          <w:vanish/>
          <w:sz w:val="24"/>
          <w:szCs w:val="24"/>
        </w:rPr>
      </w:pPr>
    </w:p>
    <w:p w:rsidR="00551F3C" w:rsidRPr="00551F3C" w:rsidRDefault="00551F3C" w:rsidP="007A2EFF">
      <w:pPr>
        <w:pStyle w:val="ListParagraph"/>
        <w:numPr>
          <w:ilvl w:val="3"/>
          <w:numId w:val="2"/>
        </w:numPr>
        <w:spacing w:after="0" w:line="240" w:lineRule="auto"/>
        <w:contextualSpacing w:val="0"/>
        <w:rPr>
          <w:rFonts w:ascii="Calibri" w:eastAsia="Times New Roman" w:hAnsi="Calibri" w:cs="Calibri"/>
          <w:vanish/>
          <w:sz w:val="24"/>
          <w:szCs w:val="24"/>
        </w:rPr>
      </w:pPr>
    </w:p>
    <w:p w:rsidR="00246E6F" w:rsidRPr="0017533B" w:rsidRDefault="00246E6F" w:rsidP="000B7997">
      <w:pPr>
        <w:pStyle w:val="ListParagraph"/>
        <w:numPr>
          <w:ilvl w:val="0"/>
          <w:numId w:val="17"/>
        </w:numPr>
        <w:spacing w:after="0" w:line="240" w:lineRule="auto"/>
        <w:jc w:val="both"/>
        <w:rPr>
          <w:rFonts w:ascii="Calibri" w:hAnsi="Calibri" w:cs="Calibri"/>
          <w:sz w:val="24"/>
          <w:szCs w:val="24"/>
        </w:rPr>
      </w:pPr>
      <w:r w:rsidRPr="0017533B">
        <w:rPr>
          <w:rFonts w:ascii="Calibri" w:eastAsia="Times New Roman" w:hAnsi="Calibri" w:cs="Calibri"/>
          <w:sz w:val="24"/>
          <w:szCs w:val="24"/>
        </w:rPr>
        <w:t>The NDO</w:t>
      </w:r>
      <w:r w:rsidR="00B308E0" w:rsidRPr="0017533B">
        <w:rPr>
          <w:rFonts w:ascii="Calibri" w:eastAsia="Times New Roman" w:hAnsi="Calibri" w:cs="Calibri"/>
          <w:sz w:val="24"/>
          <w:szCs w:val="24"/>
        </w:rPr>
        <w:t>O</w:t>
      </w:r>
      <w:r w:rsidRPr="0017533B">
        <w:rPr>
          <w:rFonts w:ascii="Calibri" w:eastAsia="Times New Roman" w:hAnsi="Calibri" w:cs="Calibri"/>
          <w:sz w:val="24"/>
          <w:szCs w:val="24"/>
        </w:rPr>
        <w:t xml:space="preserve"> is overwritten if a patient gives explicit consent for research</w:t>
      </w:r>
      <w:r w:rsidR="00E81003">
        <w:rPr>
          <w:rFonts w:ascii="Calibri" w:eastAsia="Times New Roman" w:hAnsi="Calibri" w:cs="Calibri"/>
          <w:sz w:val="24"/>
          <w:szCs w:val="24"/>
        </w:rPr>
        <w:t>,</w:t>
      </w:r>
      <w:r w:rsidRPr="0017533B">
        <w:rPr>
          <w:rFonts w:ascii="Calibri" w:eastAsia="Times New Roman" w:hAnsi="Calibri" w:cs="Calibri"/>
          <w:sz w:val="24"/>
          <w:szCs w:val="24"/>
        </w:rPr>
        <w:t xml:space="preserve"> in this case </w:t>
      </w:r>
      <w:r w:rsidRPr="0017533B">
        <w:rPr>
          <w:rFonts w:ascii="Calibri" w:eastAsia="Times New Roman" w:hAnsi="Calibri" w:cs="Calibri"/>
          <w:b/>
          <w:bCs/>
          <w:sz w:val="24"/>
          <w:szCs w:val="24"/>
        </w:rPr>
        <w:t>if a practice writes to the patient inviting them to take part the patient can give consent</w:t>
      </w:r>
      <w:r w:rsidR="00E81003">
        <w:rPr>
          <w:rFonts w:ascii="Calibri" w:eastAsia="Times New Roman" w:hAnsi="Calibri" w:cs="Calibri"/>
          <w:sz w:val="24"/>
          <w:szCs w:val="24"/>
        </w:rPr>
        <w:t>.</w:t>
      </w:r>
      <w:r w:rsidRPr="0017533B">
        <w:rPr>
          <w:rFonts w:ascii="Calibri" w:eastAsia="Times New Roman" w:hAnsi="Calibri" w:cs="Calibri"/>
          <w:sz w:val="24"/>
          <w:szCs w:val="24"/>
        </w:rPr>
        <w:t xml:space="preserve"> </w:t>
      </w:r>
      <w:r w:rsidR="00E81003">
        <w:rPr>
          <w:rFonts w:ascii="Calibri" w:eastAsia="Times New Roman" w:hAnsi="Calibri" w:cs="Calibri"/>
          <w:sz w:val="24"/>
          <w:szCs w:val="24"/>
        </w:rPr>
        <w:t>T</w:t>
      </w:r>
      <w:r w:rsidRPr="0017533B">
        <w:rPr>
          <w:rFonts w:ascii="Calibri" w:eastAsia="Times New Roman" w:hAnsi="Calibri" w:cs="Calibri"/>
          <w:sz w:val="24"/>
          <w:szCs w:val="24"/>
        </w:rPr>
        <w:t>heir information can then be provided to the research organisation for this specific study.  M</w:t>
      </w:r>
      <w:r w:rsidR="001F0065" w:rsidRPr="0017533B">
        <w:rPr>
          <w:rFonts w:ascii="Calibri" w:eastAsia="Times New Roman" w:hAnsi="Calibri" w:cs="Calibri"/>
          <w:sz w:val="24"/>
          <w:szCs w:val="24"/>
        </w:rPr>
        <w:t xml:space="preserve">ore information is available at: </w:t>
      </w:r>
      <w:hyperlink r:id="rId26" w:history="1">
        <w:r w:rsidR="001F0065" w:rsidRPr="0017533B">
          <w:rPr>
            <w:rStyle w:val="Hyperlink"/>
            <w:rFonts w:ascii="Calibri" w:eastAsia="Times New Roman" w:hAnsi="Calibri" w:cs="Calibri"/>
            <w:sz w:val="24"/>
            <w:szCs w:val="24"/>
          </w:rPr>
          <w:t>Section 251 and the application of national data opt-outs</w:t>
        </w:r>
      </w:hyperlink>
      <w:r w:rsidRPr="0017533B">
        <w:rPr>
          <w:rFonts w:ascii="Calibri" w:eastAsia="Times New Roman" w:hAnsi="Calibri" w:cs="Calibri"/>
          <w:sz w:val="24"/>
          <w:szCs w:val="24"/>
        </w:rPr>
        <w:t xml:space="preserve"> </w:t>
      </w:r>
    </w:p>
    <w:p w:rsidR="00245D65" w:rsidRPr="00512653" w:rsidRDefault="00245D65" w:rsidP="0017533B">
      <w:pPr>
        <w:pStyle w:val="NormalWeb"/>
        <w:numPr>
          <w:ilvl w:val="0"/>
          <w:numId w:val="18"/>
        </w:numPr>
        <w:jc w:val="both"/>
        <w:rPr>
          <w:rFonts w:ascii="Calibri" w:hAnsi="Calibri" w:cs="Calibri"/>
        </w:rPr>
      </w:pPr>
      <w:r w:rsidRPr="00512653">
        <w:rPr>
          <w:rFonts w:ascii="Calibri" w:hAnsi="Calibri" w:cs="Calibri"/>
        </w:rPr>
        <w:t>Where researchers need to identify people to participate in research studies, the national data opt-out may apply to this process depending on the mechanism used to identify potential research subjects.</w:t>
      </w:r>
    </w:p>
    <w:p w:rsidR="00A12625" w:rsidRPr="00512653" w:rsidRDefault="00245D65" w:rsidP="0017533B">
      <w:pPr>
        <w:pStyle w:val="NormalWeb"/>
        <w:numPr>
          <w:ilvl w:val="0"/>
          <w:numId w:val="18"/>
        </w:numPr>
        <w:jc w:val="both"/>
        <w:rPr>
          <w:rFonts w:ascii="Calibri" w:hAnsi="Calibri" w:cs="Calibri"/>
        </w:rPr>
      </w:pPr>
      <w:r w:rsidRPr="00512653">
        <w:rPr>
          <w:rFonts w:ascii="Calibri" w:hAnsi="Calibri" w:cs="Calibri"/>
        </w:rPr>
        <w:t xml:space="preserve">In certain scenarios, researchers may need to access confidential patient information to identify people with particular conditions or characteristics to invite them to take part in clinical trials and other interventional studies. This process is often referred to as seeking “consent for consent”.  There are a number of established mechanisms for identifying potential research subjects which are set-out in the </w:t>
      </w:r>
      <w:hyperlink r:id="rId27" w:history="1">
        <w:r w:rsidRPr="00512653">
          <w:rPr>
            <w:rStyle w:val="Hyperlink"/>
            <w:rFonts w:ascii="Calibri" w:hAnsi="Calibri" w:cs="Calibri"/>
          </w:rPr>
          <w:t>2013 IG Review</w:t>
        </w:r>
      </w:hyperlink>
      <w:r w:rsidRPr="00512653">
        <w:rPr>
          <w:rFonts w:ascii="Calibri" w:hAnsi="Calibri" w:cs="Calibri"/>
        </w:rPr>
        <w:t xml:space="preserve"> and the application of the national data opt-out to each of these is summarised below:</w:t>
      </w:r>
      <w:r w:rsidRPr="00512653">
        <w:rPr>
          <w:rFonts w:ascii="Calibri" w:hAnsi="Calibri" w:cs="Calibri"/>
          <w:noProof/>
        </w:rPr>
        <w:t xml:space="preserve"> </w:t>
      </w:r>
    </w:p>
    <w:p w:rsidR="00245D65" w:rsidRPr="00512653" w:rsidRDefault="00245D65" w:rsidP="00A12625">
      <w:pPr>
        <w:pStyle w:val="NormalWeb"/>
        <w:ind w:left="284"/>
        <w:rPr>
          <w:rFonts w:ascii="Calibri" w:hAnsi="Calibri" w:cs="Calibri"/>
        </w:rPr>
      </w:pPr>
      <w:r w:rsidRPr="00512653">
        <w:rPr>
          <w:rFonts w:ascii="Calibri" w:hAnsi="Calibri" w:cs="Calibri"/>
          <w:noProof/>
        </w:rPr>
        <w:drawing>
          <wp:inline distT="0" distB="0" distL="0" distR="0" wp14:anchorId="4C38099C" wp14:editId="7716CD4F">
            <wp:extent cx="5720715" cy="22021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16465" cy="2200544"/>
                    </a:xfrm>
                    <a:prstGeom prst="rect">
                      <a:avLst/>
                    </a:prstGeom>
                  </pic:spPr>
                </pic:pic>
              </a:graphicData>
            </a:graphic>
          </wp:inline>
        </w:drawing>
      </w:r>
    </w:p>
    <w:p w:rsidR="000B7997" w:rsidRPr="000B7997" w:rsidRDefault="000B7997" w:rsidP="000B7997">
      <w:pPr>
        <w:ind w:left="567"/>
        <w:rPr>
          <w:sz w:val="24"/>
          <w:szCs w:val="24"/>
        </w:rPr>
      </w:pPr>
    </w:p>
    <w:p w:rsidR="00246E6F" w:rsidRPr="000B7997" w:rsidRDefault="00246E6F" w:rsidP="000B7997">
      <w:pPr>
        <w:pStyle w:val="Heading1"/>
      </w:pPr>
      <w:bookmarkStart w:id="138" w:name="_Toc99613168"/>
      <w:r w:rsidRPr="000B7997">
        <w:t>Useful resources</w:t>
      </w:r>
      <w:bookmarkEnd w:id="138"/>
    </w:p>
    <w:p w:rsidR="00512653" w:rsidRPr="00FA5945" w:rsidRDefault="000B7997" w:rsidP="00F22A18">
      <w:pPr>
        <w:pStyle w:val="NormalDark"/>
        <w:ind w:left="567"/>
        <w:jc w:val="both"/>
        <w:rPr>
          <w:rFonts w:asciiTheme="minorHAnsi" w:hAnsiTheme="minorHAnsi" w:cstheme="minorBidi"/>
          <w:color w:val="auto"/>
        </w:rPr>
      </w:pPr>
      <w:hyperlink r:id="rId29" w:history="1">
        <w:r w:rsidRPr="00FA5945">
          <w:rPr>
            <w:rFonts w:asciiTheme="minorHAnsi" w:hAnsiTheme="minorHAnsi" w:cstheme="minorBidi"/>
            <w:color w:val="0000FF"/>
            <w:u w:val="single"/>
          </w:rPr>
          <w:t>National data opt-out: compliance implementation guide - NHS Digital</w:t>
        </w:r>
      </w:hyperlink>
    </w:p>
    <w:p w:rsidR="000B7997" w:rsidRPr="001857A7" w:rsidRDefault="000B7997" w:rsidP="00F22A18">
      <w:pPr>
        <w:pStyle w:val="NormalDark"/>
        <w:ind w:left="567"/>
        <w:jc w:val="both"/>
        <w:rPr>
          <w:color w:val="606362"/>
        </w:rPr>
      </w:pPr>
    </w:p>
    <w:p w:rsidR="000B7997" w:rsidRPr="00FA5945" w:rsidRDefault="000B7997" w:rsidP="00F22A18">
      <w:pPr>
        <w:pStyle w:val="NormalDark"/>
        <w:ind w:left="567"/>
        <w:jc w:val="both"/>
        <w:rPr>
          <w:rFonts w:asciiTheme="minorHAnsi" w:hAnsiTheme="minorHAnsi" w:cstheme="minorBidi"/>
          <w:color w:val="auto"/>
        </w:rPr>
      </w:pPr>
      <w:hyperlink r:id="rId30" w:history="1">
        <w:r w:rsidRPr="00FA5945">
          <w:rPr>
            <w:rFonts w:asciiTheme="minorHAnsi" w:hAnsiTheme="minorHAnsi" w:cstheme="minorBidi"/>
            <w:color w:val="0000FF"/>
            <w:u w:val="single"/>
          </w:rPr>
          <w:t>Information for GP practices - NHS Digital</w:t>
        </w:r>
      </w:hyperlink>
    </w:p>
    <w:p w:rsidR="000B7997" w:rsidRPr="001857A7" w:rsidRDefault="000B7997" w:rsidP="00F22A18">
      <w:pPr>
        <w:pStyle w:val="NormalDark"/>
        <w:ind w:left="567"/>
        <w:jc w:val="both"/>
        <w:rPr>
          <w:rStyle w:val="Hyperlink"/>
        </w:rPr>
      </w:pPr>
    </w:p>
    <w:p w:rsidR="0019347B" w:rsidRDefault="0019347B" w:rsidP="00F22A18">
      <w:pPr>
        <w:pStyle w:val="NormalDark"/>
        <w:ind w:left="567"/>
        <w:jc w:val="both"/>
      </w:pPr>
    </w:p>
    <w:p w:rsidR="00663C74" w:rsidRDefault="00663C74"/>
    <w:p w:rsidR="00512653" w:rsidRDefault="00512653">
      <w:r>
        <w:br w:type="page"/>
      </w:r>
    </w:p>
    <w:p w:rsidR="00512653" w:rsidRDefault="00512653" w:rsidP="00512653">
      <w:pPr>
        <w:keepNext/>
        <w:spacing w:before="240" w:after="120" w:line="240" w:lineRule="auto"/>
        <w:ind w:left="567"/>
        <w:outlineLvl w:val="0"/>
        <w:rPr>
          <w:rFonts w:ascii="Calibri" w:eastAsia="Calibri" w:hAnsi="Calibri" w:cs="Times New Roman"/>
          <w:b/>
          <w:color w:val="1960AB"/>
          <w:sz w:val="28"/>
          <w:szCs w:val="24"/>
          <w:lang w:val="en" w:eastAsia="en-GB"/>
        </w:rPr>
      </w:pPr>
      <w:bookmarkStart w:id="139" w:name="_Toc46229182"/>
      <w:bookmarkStart w:id="140" w:name="_Toc46325209"/>
    </w:p>
    <w:p w:rsidR="00512653" w:rsidRPr="00D33726" w:rsidRDefault="00512653" w:rsidP="00551F3C">
      <w:pPr>
        <w:pStyle w:val="Heading1"/>
        <w:ind w:left="567" w:hanging="567"/>
      </w:pPr>
      <w:bookmarkStart w:id="141" w:name="_Toc99613169"/>
      <w:r w:rsidRPr="00D33726">
        <w:t>Document Control</w:t>
      </w:r>
      <w:bookmarkEnd w:id="139"/>
      <w:bookmarkEnd w:id="140"/>
      <w:bookmarkEnd w:id="141"/>
    </w:p>
    <w:p w:rsidR="00512653" w:rsidRPr="00512653" w:rsidRDefault="00512653" w:rsidP="00512653">
      <w:pPr>
        <w:spacing w:after="0" w:line="240" w:lineRule="auto"/>
        <w:rPr>
          <w:rFonts w:ascii="Calibri" w:eastAsia="Calibri" w:hAnsi="Calibri" w:cs="Times New Roman"/>
        </w:rPr>
      </w:pPr>
    </w:p>
    <w:p w:rsidR="00512653" w:rsidRPr="00512653" w:rsidRDefault="00512653" w:rsidP="00512653">
      <w:pPr>
        <w:spacing w:after="0" w:line="240" w:lineRule="auto"/>
        <w:jc w:val="both"/>
        <w:rPr>
          <w:rFonts w:ascii="Calibri" w:eastAsia="Calibri" w:hAnsi="Calibri" w:cs="Times New Roman"/>
          <w:b/>
          <w:bCs/>
          <w:iCs/>
          <w:sz w:val="24"/>
          <w:szCs w:val="24"/>
          <w:u w:val="single"/>
        </w:rPr>
      </w:pPr>
      <w:r w:rsidRPr="00512653">
        <w:rPr>
          <w:rFonts w:ascii="Calibri" w:eastAsia="Calibri" w:hAnsi="Calibri" w:cs="Times New Roman"/>
          <w:b/>
          <w:bCs/>
          <w:iCs/>
          <w:sz w:val="24"/>
          <w:szCs w:val="24"/>
          <w:u w:val="single"/>
        </w:rPr>
        <w:t>This document was created by NHS South Central and West Commissioning Support Unit (SCW) and as such the IP rights of this document belong to SCW.</w:t>
      </w:r>
    </w:p>
    <w:p w:rsidR="00512653" w:rsidRPr="00512653" w:rsidRDefault="00512653" w:rsidP="00512653">
      <w:pPr>
        <w:spacing w:after="0" w:line="240" w:lineRule="auto"/>
        <w:rPr>
          <w:rFonts w:ascii="Calibri" w:eastAsia="Calibri" w:hAnsi="Calibri" w:cs="Times New Roman"/>
          <w:bCs/>
          <w:iCs/>
          <w:sz w:val="24"/>
          <w:szCs w:val="24"/>
        </w:rPr>
      </w:pP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512653" w:rsidRPr="00512653" w:rsidTr="00A7734B">
        <w:trPr>
          <w:trHeight w:val="246"/>
        </w:trPr>
        <w:tc>
          <w:tcPr>
            <w:tcW w:w="3369" w:type="dxa"/>
            <w:shd w:val="clear" w:color="auto" w:fill="auto"/>
          </w:tcPr>
          <w:p w:rsidR="00512653" w:rsidRPr="00512653" w:rsidRDefault="00512653" w:rsidP="00512653">
            <w:pPr>
              <w:spacing w:after="0" w:line="240" w:lineRule="auto"/>
              <w:rPr>
                <w:rFonts w:ascii="Calibri" w:eastAsia="Calibri" w:hAnsi="Calibri" w:cs="Times New Roman"/>
                <w:b/>
                <w:bCs/>
                <w:iCs/>
                <w:sz w:val="24"/>
                <w:szCs w:val="24"/>
                <w:lang w:val="en"/>
              </w:rPr>
            </w:pPr>
            <w:r w:rsidRPr="00512653">
              <w:rPr>
                <w:rFonts w:ascii="Calibri" w:eastAsia="Calibri" w:hAnsi="Calibri" w:cs="Times New Roman"/>
                <w:b/>
                <w:bCs/>
                <w:iCs/>
                <w:sz w:val="24"/>
                <w:szCs w:val="24"/>
                <w:lang w:val="en"/>
              </w:rPr>
              <w:t>Document Name</w:t>
            </w:r>
          </w:p>
        </w:tc>
        <w:tc>
          <w:tcPr>
            <w:tcW w:w="1059" w:type="dxa"/>
            <w:shd w:val="clear" w:color="auto" w:fill="auto"/>
          </w:tcPr>
          <w:p w:rsidR="00512653" w:rsidRPr="00512653" w:rsidRDefault="00512653" w:rsidP="00512653">
            <w:pPr>
              <w:spacing w:after="0" w:line="240" w:lineRule="auto"/>
              <w:rPr>
                <w:rFonts w:ascii="Calibri" w:eastAsia="Calibri" w:hAnsi="Calibri" w:cs="Times New Roman"/>
                <w:b/>
                <w:bCs/>
                <w:iCs/>
                <w:sz w:val="24"/>
                <w:szCs w:val="24"/>
                <w:lang w:val="en"/>
              </w:rPr>
            </w:pPr>
            <w:r w:rsidRPr="00512653">
              <w:rPr>
                <w:rFonts w:ascii="Calibri" w:eastAsia="Calibri" w:hAnsi="Calibri" w:cs="Times New Roman"/>
                <w:b/>
                <w:bCs/>
                <w:iCs/>
                <w:sz w:val="24"/>
                <w:szCs w:val="24"/>
                <w:lang w:val="en"/>
              </w:rPr>
              <w:t>Version</w:t>
            </w:r>
          </w:p>
        </w:tc>
        <w:tc>
          <w:tcPr>
            <w:tcW w:w="1800" w:type="dxa"/>
            <w:shd w:val="clear" w:color="auto" w:fill="auto"/>
          </w:tcPr>
          <w:p w:rsidR="00512653" w:rsidRPr="00512653" w:rsidRDefault="00512653" w:rsidP="00512653">
            <w:pPr>
              <w:spacing w:after="0" w:line="240" w:lineRule="auto"/>
              <w:rPr>
                <w:rFonts w:ascii="Calibri" w:eastAsia="Calibri" w:hAnsi="Calibri" w:cs="Times New Roman"/>
                <w:b/>
                <w:bCs/>
                <w:iCs/>
                <w:sz w:val="24"/>
                <w:szCs w:val="24"/>
                <w:lang w:val="en"/>
              </w:rPr>
            </w:pPr>
            <w:r w:rsidRPr="00512653">
              <w:rPr>
                <w:rFonts w:ascii="Calibri" w:eastAsia="Calibri" w:hAnsi="Calibri" w:cs="Times New Roman"/>
                <w:b/>
                <w:bCs/>
                <w:iCs/>
                <w:sz w:val="24"/>
                <w:szCs w:val="24"/>
                <w:lang w:val="en"/>
              </w:rPr>
              <w:t>Status</w:t>
            </w:r>
          </w:p>
        </w:tc>
        <w:tc>
          <w:tcPr>
            <w:tcW w:w="3236" w:type="dxa"/>
            <w:gridSpan w:val="2"/>
            <w:shd w:val="clear" w:color="auto" w:fill="auto"/>
          </w:tcPr>
          <w:p w:rsidR="00512653" w:rsidRPr="00512653" w:rsidRDefault="00512653" w:rsidP="00512653">
            <w:pPr>
              <w:spacing w:after="0" w:line="240" w:lineRule="auto"/>
              <w:rPr>
                <w:rFonts w:ascii="Calibri" w:eastAsia="Calibri" w:hAnsi="Calibri" w:cs="Times New Roman"/>
                <w:b/>
                <w:bCs/>
                <w:iCs/>
                <w:sz w:val="24"/>
                <w:szCs w:val="24"/>
                <w:lang w:val="en"/>
              </w:rPr>
            </w:pPr>
            <w:r w:rsidRPr="00512653">
              <w:rPr>
                <w:rFonts w:ascii="Calibri" w:eastAsia="Calibri" w:hAnsi="Calibri" w:cs="Times New Roman"/>
                <w:b/>
                <w:bCs/>
                <w:iCs/>
                <w:sz w:val="24"/>
                <w:szCs w:val="24"/>
                <w:lang w:val="en"/>
              </w:rPr>
              <w:t>Author</w:t>
            </w:r>
          </w:p>
        </w:tc>
      </w:tr>
      <w:tr w:rsidR="00512653" w:rsidRPr="00512653" w:rsidTr="00A7734B">
        <w:tc>
          <w:tcPr>
            <w:tcW w:w="3369" w:type="dxa"/>
            <w:tcBorders>
              <w:bottom w:val="single" w:sz="4" w:space="0" w:color="0091C9"/>
            </w:tcBorders>
            <w:shd w:val="clear" w:color="auto" w:fill="auto"/>
          </w:tcPr>
          <w:p w:rsidR="00512653" w:rsidRPr="00512653" w:rsidRDefault="00512653" w:rsidP="00512653">
            <w:pPr>
              <w:spacing w:after="0" w:line="240" w:lineRule="auto"/>
              <w:rPr>
                <w:rFonts w:ascii="Calibri" w:eastAsia="Calibri" w:hAnsi="Calibri" w:cs="Times New Roman"/>
                <w:bCs/>
                <w:iCs/>
                <w:sz w:val="24"/>
                <w:szCs w:val="24"/>
              </w:rPr>
            </w:pPr>
            <w:r>
              <w:rPr>
                <w:rFonts w:ascii="Calibri" w:eastAsia="Calibri" w:hAnsi="Calibri" w:cs="Times New Roman"/>
                <w:bCs/>
                <w:i/>
                <w:iCs/>
                <w:sz w:val="24"/>
                <w:szCs w:val="24"/>
              </w:rPr>
              <w:t xml:space="preserve">National Data Opt Out </w:t>
            </w:r>
            <w:r w:rsidRPr="00512653">
              <w:rPr>
                <w:rFonts w:ascii="Calibri" w:eastAsia="Calibri" w:hAnsi="Calibri" w:cs="Times New Roman"/>
                <w:bCs/>
                <w:i/>
                <w:iCs/>
                <w:sz w:val="24"/>
                <w:szCs w:val="24"/>
              </w:rPr>
              <w:t xml:space="preserve">Guidance for Primary Care </w:t>
            </w:r>
          </w:p>
        </w:tc>
        <w:tc>
          <w:tcPr>
            <w:tcW w:w="1059" w:type="dxa"/>
            <w:shd w:val="clear" w:color="auto" w:fill="auto"/>
          </w:tcPr>
          <w:p w:rsidR="00512653" w:rsidRPr="00512653" w:rsidRDefault="00512653" w:rsidP="00512653">
            <w:pPr>
              <w:spacing w:after="0" w:line="240" w:lineRule="auto"/>
              <w:rPr>
                <w:rFonts w:ascii="Calibri" w:eastAsia="Calibri" w:hAnsi="Calibri" w:cs="Times New Roman"/>
                <w:bCs/>
                <w:iCs/>
                <w:sz w:val="24"/>
                <w:szCs w:val="24"/>
              </w:rPr>
            </w:pPr>
            <w:r w:rsidRPr="00512653">
              <w:rPr>
                <w:rFonts w:ascii="Calibri" w:eastAsia="Calibri" w:hAnsi="Calibri" w:cs="Times New Roman"/>
                <w:bCs/>
                <w:iCs/>
                <w:sz w:val="24"/>
                <w:szCs w:val="24"/>
              </w:rPr>
              <w:t>1.</w:t>
            </w:r>
            <w:r w:rsidR="00C71987">
              <w:rPr>
                <w:rFonts w:ascii="Calibri" w:eastAsia="Calibri" w:hAnsi="Calibri" w:cs="Times New Roman"/>
                <w:bCs/>
                <w:iCs/>
                <w:sz w:val="24"/>
                <w:szCs w:val="24"/>
              </w:rPr>
              <w:t>3</w:t>
            </w:r>
          </w:p>
        </w:tc>
        <w:tc>
          <w:tcPr>
            <w:tcW w:w="1800" w:type="dxa"/>
            <w:shd w:val="clear" w:color="auto" w:fill="auto"/>
          </w:tcPr>
          <w:p w:rsidR="00512653" w:rsidRPr="00512653" w:rsidRDefault="00512653" w:rsidP="00512653">
            <w:pPr>
              <w:spacing w:after="0" w:line="240" w:lineRule="auto"/>
              <w:rPr>
                <w:rFonts w:ascii="Calibri" w:eastAsia="Calibri" w:hAnsi="Calibri" w:cs="Times New Roman"/>
                <w:bCs/>
                <w:iCs/>
                <w:sz w:val="24"/>
                <w:szCs w:val="24"/>
              </w:rPr>
            </w:pPr>
            <w:r w:rsidRPr="00512653">
              <w:rPr>
                <w:rFonts w:ascii="Calibri" w:eastAsia="Calibri" w:hAnsi="Calibri" w:cs="Times New Roman"/>
                <w:bCs/>
                <w:iCs/>
                <w:sz w:val="24"/>
                <w:szCs w:val="24"/>
              </w:rPr>
              <w:t xml:space="preserve">Published </w:t>
            </w:r>
          </w:p>
        </w:tc>
        <w:tc>
          <w:tcPr>
            <w:tcW w:w="3236" w:type="dxa"/>
            <w:gridSpan w:val="2"/>
            <w:shd w:val="clear" w:color="auto" w:fill="auto"/>
          </w:tcPr>
          <w:p w:rsidR="00512653" w:rsidRPr="00512653" w:rsidRDefault="00512653" w:rsidP="00512653">
            <w:pPr>
              <w:spacing w:after="0" w:line="240" w:lineRule="auto"/>
              <w:rPr>
                <w:rFonts w:ascii="Calibri" w:eastAsia="Calibri" w:hAnsi="Calibri" w:cs="Times New Roman"/>
                <w:bCs/>
                <w:iCs/>
                <w:sz w:val="24"/>
                <w:szCs w:val="24"/>
              </w:rPr>
            </w:pPr>
            <w:r w:rsidRPr="00512653">
              <w:rPr>
                <w:rFonts w:ascii="Calibri" w:eastAsia="Calibri" w:hAnsi="Calibri" w:cs="Times New Roman"/>
                <w:bCs/>
                <w:iCs/>
                <w:sz w:val="24"/>
                <w:szCs w:val="24"/>
              </w:rPr>
              <w:t>NHS SCW Information Governance Services</w:t>
            </w:r>
          </w:p>
        </w:tc>
      </w:tr>
      <w:tr w:rsidR="00512653" w:rsidRPr="00512653" w:rsidTr="00A7734B">
        <w:trPr>
          <w:trHeight w:val="1178"/>
        </w:trPr>
        <w:tc>
          <w:tcPr>
            <w:tcW w:w="3369" w:type="dxa"/>
            <w:tcBorders>
              <w:top w:val="single" w:sz="4" w:space="0" w:color="FFFFFF"/>
              <w:bottom w:val="single" w:sz="4" w:space="0" w:color="FFFFFF"/>
              <w:right w:val="single" w:sz="6" w:space="0" w:color="0091C9"/>
            </w:tcBorders>
            <w:shd w:val="clear" w:color="auto" w:fill="auto"/>
            <w:vAlign w:val="center"/>
          </w:tcPr>
          <w:p w:rsidR="00512653" w:rsidRPr="00512653" w:rsidRDefault="00512653" w:rsidP="00512653">
            <w:pPr>
              <w:spacing w:after="0" w:line="240" w:lineRule="auto"/>
              <w:rPr>
                <w:rFonts w:ascii="Calibri" w:eastAsia="Calibri" w:hAnsi="Calibri" w:cs="Times New Roman"/>
                <w:bCs/>
                <w:iCs/>
                <w:sz w:val="24"/>
                <w:szCs w:val="24"/>
              </w:rPr>
            </w:pPr>
            <w:r w:rsidRPr="00512653">
              <w:rPr>
                <w:rFonts w:ascii="Calibri" w:eastAsia="Calibri" w:hAnsi="Calibri" w:cs="Times New Roman"/>
                <w:b/>
                <w:bCs/>
                <w:iCs/>
                <w:sz w:val="24"/>
                <w:szCs w:val="24"/>
                <w:lang w:val="en"/>
              </w:rPr>
              <w:t>Document objectives:</w:t>
            </w:r>
            <w:r w:rsidRPr="00512653">
              <w:rPr>
                <w:rFonts w:ascii="Calibri" w:eastAsia="Calibri" w:hAnsi="Calibri" w:cs="Times New Roman"/>
                <w:bCs/>
                <w:iCs/>
                <w:sz w:val="24"/>
                <w:szCs w:val="24"/>
              </w:rPr>
              <w:t xml:space="preserve"> </w:t>
            </w:r>
          </w:p>
        </w:tc>
        <w:tc>
          <w:tcPr>
            <w:tcW w:w="6095" w:type="dxa"/>
            <w:gridSpan w:val="4"/>
            <w:tcBorders>
              <w:left w:val="single" w:sz="6" w:space="0" w:color="0091C9"/>
            </w:tcBorders>
            <w:shd w:val="clear" w:color="auto" w:fill="auto"/>
            <w:vAlign w:val="center"/>
          </w:tcPr>
          <w:p w:rsidR="00512653" w:rsidRPr="00512653" w:rsidRDefault="00512653" w:rsidP="00512653">
            <w:pPr>
              <w:spacing w:after="0" w:line="240" w:lineRule="auto"/>
              <w:rPr>
                <w:rFonts w:ascii="Calibri" w:eastAsia="Calibri" w:hAnsi="Calibri" w:cs="Times New Roman"/>
                <w:bCs/>
                <w:i/>
                <w:iCs/>
                <w:sz w:val="24"/>
                <w:szCs w:val="24"/>
              </w:rPr>
            </w:pPr>
            <w:r w:rsidRPr="00512653">
              <w:rPr>
                <w:rFonts w:ascii="Calibri" w:eastAsia="Calibri" w:hAnsi="Calibri" w:cs="Times New Roman"/>
                <w:bCs/>
                <w:iCs/>
                <w:sz w:val="24"/>
                <w:szCs w:val="24"/>
              </w:rPr>
              <w:t>This document supports Practice staff in compliance with Data Protection legislation, achieving best practice in the area of Information Governance and in meeting the requirements of the Data Security and Protection Toolkit</w:t>
            </w:r>
          </w:p>
        </w:tc>
      </w:tr>
      <w:tr w:rsidR="00512653" w:rsidRPr="00512653" w:rsidTr="00A7734B">
        <w:trPr>
          <w:trHeight w:val="387"/>
        </w:trPr>
        <w:tc>
          <w:tcPr>
            <w:tcW w:w="3369" w:type="dxa"/>
            <w:tcBorders>
              <w:top w:val="single" w:sz="4" w:space="0" w:color="FFFFFF"/>
              <w:bottom w:val="single" w:sz="4" w:space="0" w:color="FFFFFF"/>
              <w:right w:val="single" w:sz="6" w:space="0" w:color="0091C9"/>
            </w:tcBorders>
            <w:shd w:val="clear" w:color="auto" w:fill="auto"/>
            <w:vAlign w:val="center"/>
          </w:tcPr>
          <w:p w:rsidR="00512653" w:rsidRPr="00512653" w:rsidRDefault="00512653" w:rsidP="00512653">
            <w:pPr>
              <w:spacing w:after="0" w:line="240" w:lineRule="auto"/>
              <w:rPr>
                <w:rFonts w:ascii="Calibri" w:eastAsia="Calibri" w:hAnsi="Calibri" w:cs="Times New Roman"/>
                <w:bCs/>
                <w:iCs/>
                <w:sz w:val="24"/>
                <w:szCs w:val="24"/>
              </w:rPr>
            </w:pPr>
            <w:r w:rsidRPr="00512653">
              <w:rPr>
                <w:rFonts w:ascii="Calibri" w:eastAsia="Calibri" w:hAnsi="Calibri" w:cs="Times New Roman"/>
                <w:b/>
                <w:bCs/>
                <w:iCs/>
                <w:sz w:val="24"/>
                <w:szCs w:val="24"/>
                <w:lang w:val="en"/>
              </w:rPr>
              <w:t>Target audience:</w:t>
            </w:r>
          </w:p>
        </w:tc>
        <w:tc>
          <w:tcPr>
            <w:tcW w:w="6095" w:type="dxa"/>
            <w:gridSpan w:val="4"/>
            <w:tcBorders>
              <w:left w:val="single" w:sz="6" w:space="0" w:color="0091C9"/>
            </w:tcBorders>
            <w:shd w:val="clear" w:color="auto" w:fill="auto"/>
            <w:vAlign w:val="center"/>
          </w:tcPr>
          <w:p w:rsidR="00512653" w:rsidRPr="00512653" w:rsidRDefault="00512653" w:rsidP="00512653">
            <w:pPr>
              <w:spacing w:after="0" w:line="240" w:lineRule="auto"/>
              <w:rPr>
                <w:rFonts w:ascii="Calibri" w:eastAsia="Calibri" w:hAnsi="Calibri" w:cs="Times New Roman"/>
                <w:bCs/>
                <w:iCs/>
                <w:sz w:val="24"/>
                <w:szCs w:val="24"/>
              </w:rPr>
            </w:pPr>
            <w:r w:rsidRPr="00512653">
              <w:rPr>
                <w:rFonts w:ascii="Calibri" w:eastAsia="Calibri" w:hAnsi="Calibri" w:cs="Times New Roman"/>
                <w:bCs/>
                <w:iCs/>
                <w:sz w:val="24"/>
                <w:szCs w:val="24"/>
              </w:rPr>
              <w:t>All staff</w:t>
            </w:r>
          </w:p>
        </w:tc>
      </w:tr>
      <w:tr w:rsidR="00512653" w:rsidRPr="00512653" w:rsidTr="00A7734B">
        <w:trPr>
          <w:trHeight w:val="530"/>
        </w:trPr>
        <w:tc>
          <w:tcPr>
            <w:tcW w:w="3369" w:type="dxa"/>
            <w:tcBorders>
              <w:top w:val="single" w:sz="4" w:space="0" w:color="FFFFFF"/>
              <w:bottom w:val="single" w:sz="4" w:space="0" w:color="FFFFFF"/>
              <w:right w:val="single" w:sz="6" w:space="0" w:color="0091C9"/>
            </w:tcBorders>
            <w:shd w:val="clear" w:color="auto" w:fill="auto"/>
            <w:vAlign w:val="center"/>
          </w:tcPr>
          <w:p w:rsidR="00512653" w:rsidRPr="00512653" w:rsidRDefault="00512653" w:rsidP="00512653">
            <w:pPr>
              <w:spacing w:after="0" w:line="240" w:lineRule="auto"/>
              <w:rPr>
                <w:rFonts w:ascii="Calibri" w:eastAsia="Calibri" w:hAnsi="Calibri" w:cs="Times New Roman"/>
                <w:b/>
                <w:bCs/>
                <w:iCs/>
                <w:sz w:val="24"/>
                <w:szCs w:val="24"/>
                <w:lang w:val="en"/>
              </w:rPr>
            </w:pPr>
            <w:r w:rsidRPr="00512653">
              <w:rPr>
                <w:rFonts w:ascii="Calibri" w:eastAsia="Calibri" w:hAnsi="Calibri" w:cs="Times New Roman"/>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rsidR="00512653" w:rsidRPr="00512653" w:rsidRDefault="00512653" w:rsidP="00512653">
            <w:pPr>
              <w:spacing w:after="0" w:line="240" w:lineRule="auto"/>
              <w:rPr>
                <w:rFonts w:ascii="Calibri" w:eastAsia="Calibri" w:hAnsi="Calibri" w:cs="Times New Roman"/>
                <w:bCs/>
                <w:iCs/>
                <w:sz w:val="24"/>
                <w:szCs w:val="24"/>
                <w:lang w:val="en"/>
              </w:rPr>
            </w:pPr>
            <w:r w:rsidRPr="00512653">
              <w:rPr>
                <w:rFonts w:ascii="Calibri" w:eastAsia="Calibri" w:hAnsi="Calibri" w:cs="Times New Roman"/>
                <w:bCs/>
                <w:iCs/>
                <w:sz w:val="24"/>
                <w:szCs w:val="24"/>
              </w:rPr>
              <w:t>This document will be monitored by NHS SCW Information Governance Services to ensure any legislative changes that occur before the review date are incorporated. </w:t>
            </w:r>
          </w:p>
        </w:tc>
      </w:tr>
      <w:tr w:rsidR="00F926B7" w:rsidRPr="00512653" w:rsidTr="00A7734B">
        <w:trPr>
          <w:trHeight w:val="530"/>
        </w:trPr>
        <w:tc>
          <w:tcPr>
            <w:tcW w:w="3369" w:type="dxa"/>
            <w:tcBorders>
              <w:top w:val="single" w:sz="4" w:space="0" w:color="FFFFFF"/>
              <w:bottom w:val="single" w:sz="4" w:space="0" w:color="FFFFFF"/>
              <w:right w:val="single" w:sz="6" w:space="0" w:color="0091C9"/>
            </w:tcBorders>
            <w:shd w:val="clear" w:color="auto" w:fill="auto"/>
            <w:vAlign w:val="center"/>
          </w:tcPr>
          <w:p w:rsidR="00F926B7" w:rsidRPr="00512653" w:rsidRDefault="00F926B7" w:rsidP="00F926B7">
            <w:pPr>
              <w:spacing w:after="0" w:line="240" w:lineRule="auto"/>
              <w:rPr>
                <w:rFonts w:ascii="Calibri" w:eastAsia="Calibri" w:hAnsi="Calibri" w:cs="Times New Roman"/>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rsidR="00F926B7" w:rsidRPr="00512653" w:rsidRDefault="00F926B7" w:rsidP="00F926B7">
            <w:pPr>
              <w:spacing w:after="0" w:line="240" w:lineRule="auto"/>
              <w:rPr>
                <w:rFonts w:ascii="Calibri" w:eastAsia="Calibri" w:hAnsi="Calibri" w:cs="Times New Roman"/>
                <w:bCs/>
                <w:iCs/>
                <w:sz w:val="24"/>
                <w:szCs w:val="24"/>
              </w:rPr>
            </w:pPr>
            <w:r>
              <w:rPr>
                <w:sz w:val="24"/>
                <w:szCs w:val="24"/>
              </w:rPr>
              <w:t xml:space="preserve">SCW reviews customer documents in line with our planned schedule </w:t>
            </w:r>
          </w:p>
        </w:tc>
      </w:tr>
      <w:tr w:rsidR="00F926B7" w:rsidRPr="00512653" w:rsidTr="00A7734B">
        <w:trPr>
          <w:trHeight w:val="530"/>
        </w:trPr>
        <w:tc>
          <w:tcPr>
            <w:tcW w:w="3369" w:type="dxa"/>
            <w:tcBorders>
              <w:top w:val="single" w:sz="4" w:space="0" w:color="FFFFFF"/>
              <w:bottom w:val="single" w:sz="4" w:space="0" w:color="FFFFFF"/>
              <w:right w:val="single" w:sz="6" w:space="0" w:color="0091C9"/>
            </w:tcBorders>
            <w:shd w:val="clear" w:color="auto" w:fill="auto"/>
            <w:vAlign w:val="center"/>
          </w:tcPr>
          <w:p w:rsidR="00F926B7" w:rsidRPr="00512653" w:rsidRDefault="00F926B7" w:rsidP="00F926B7">
            <w:pPr>
              <w:spacing w:after="0" w:line="240" w:lineRule="auto"/>
              <w:rPr>
                <w:rFonts w:ascii="Calibri" w:eastAsia="Calibri" w:hAnsi="Calibri" w:cs="Times New Roman"/>
                <w:b/>
                <w:bCs/>
                <w:iCs/>
                <w:sz w:val="24"/>
                <w:szCs w:val="24"/>
                <w:lang w:val="en"/>
              </w:rPr>
            </w:pPr>
            <w:r>
              <w:rPr>
                <w:b/>
                <w:bCs/>
                <w:iCs/>
                <w:sz w:val="24"/>
                <w:szCs w:val="24"/>
                <w:lang w:val="en"/>
              </w:rPr>
              <w:t>SCW Planned Review date</w:t>
            </w:r>
          </w:p>
        </w:tc>
        <w:tc>
          <w:tcPr>
            <w:tcW w:w="6095" w:type="dxa"/>
            <w:gridSpan w:val="4"/>
            <w:tcBorders>
              <w:left w:val="single" w:sz="6" w:space="0" w:color="0091C9"/>
            </w:tcBorders>
            <w:shd w:val="clear" w:color="auto" w:fill="auto"/>
            <w:vAlign w:val="center"/>
          </w:tcPr>
          <w:p w:rsidR="00F926B7" w:rsidRPr="00512653" w:rsidRDefault="00F926B7" w:rsidP="00F926B7">
            <w:pPr>
              <w:spacing w:after="0" w:line="240" w:lineRule="auto"/>
              <w:rPr>
                <w:rFonts w:ascii="Calibri" w:eastAsia="Calibri" w:hAnsi="Calibri" w:cs="Times New Roman"/>
                <w:bCs/>
                <w:iCs/>
                <w:sz w:val="24"/>
                <w:szCs w:val="24"/>
              </w:rPr>
            </w:pPr>
            <w:r w:rsidRPr="00D441C2">
              <w:rPr>
                <w:bCs/>
                <w:iCs/>
                <w:sz w:val="24"/>
                <w:szCs w:val="24"/>
              </w:rPr>
              <w:t xml:space="preserve">01 </w:t>
            </w:r>
            <w:r w:rsidR="005E487F">
              <w:rPr>
                <w:bCs/>
                <w:iCs/>
                <w:sz w:val="24"/>
                <w:szCs w:val="24"/>
              </w:rPr>
              <w:t>January</w:t>
            </w:r>
            <w:r w:rsidRPr="00D441C2">
              <w:rPr>
                <w:bCs/>
                <w:iCs/>
                <w:sz w:val="24"/>
                <w:szCs w:val="24"/>
              </w:rPr>
              <w:t xml:space="preserve"> 202</w:t>
            </w:r>
            <w:r w:rsidR="00F26F27">
              <w:rPr>
                <w:bCs/>
                <w:iCs/>
                <w:sz w:val="24"/>
                <w:szCs w:val="24"/>
              </w:rPr>
              <w:t>5</w:t>
            </w:r>
          </w:p>
        </w:tc>
      </w:tr>
      <w:tr w:rsidR="00F926B7" w:rsidRPr="00512653" w:rsidTr="00A7734B">
        <w:trPr>
          <w:trHeight w:val="530"/>
        </w:trPr>
        <w:tc>
          <w:tcPr>
            <w:tcW w:w="3369" w:type="dxa"/>
            <w:tcBorders>
              <w:top w:val="single" w:sz="4" w:space="0" w:color="FFFFFF"/>
              <w:bottom w:val="single" w:sz="4" w:space="0" w:color="FFFFFF"/>
              <w:right w:val="single" w:sz="6" w:space="0" w:color="0091C9"/>
            </w:tcBorders>
            <w:shd w:val="clear" w:color="auto" w:fill="auto"/>
            <w:vAlign w:val="center"/>
          </w:tcPr>
          <w:p w:rsidR="00F926B7" w:rsidRPr="00512653" w:rsidRDefault="00F926B7" w:rsidP="00F926B7">
            <w:pPr>
              <w:spacing w:after="0" w:line="240" w:lineRule="auto"/>
              <w:rPr>
                <w:rFonts w:ascii="Calibri" w:eastAsia="Calibri" w:hAnsi="Calibri" w:cs="Times New Roman"/>
                <w:b/>
                <w:bCs/>
                <w:iCs/>
                <w:sz w:val="24"/>
                <w:szCs w:val="24"/>
                <w:lang w:val="en"/>
              </w:rPr>
            </w:pPr>
            <w:r>
              <w:rPr>
                <w:b/>
                <w:bCs/>
                <w:iCs/>
                <w:sz w:val="24"/>
                <w:szCs w:val="24"/>
                <w:lang w:val="en"/>
              </w:rPr>
              <w:t>Date uploaded to SCW Website</w:t>
            </w:r>
          </w:p>
        </w:tc>
        <w:tc>
          <w:tcPr>
            <w:tcW w:w="6095" w:type="dxa"/>
            <w:gridSpan w:val="4"/>
            <w:tcBorders>
              <w:left w:val="single" w:sz="6" w:space="0" w:color="0091C9"/>
            </w:tcBorders>
            <w:shd w:val="clear" w:color="auto" w:fill="auto"/>
            <w:vAlign w:val="center"/>
          </w:tcPr>
          <w:p w:rsidR="00F926B7" w:rsidRPr="00512653" w:rsidRDefault="00DF14E0" w:rsidP="00F926B7">
            <w:pPr>
              <w:spacing w:after="0" w:line="240" w:lineRule="auto"/>
              <w:rPr>
                <w:rFonts w:ascii="Calibri" w:eastAsia="Calibri" w:hAnsi="Calibri" w:cs="Times New Roman"/>
                <w:bCs/>
                <w:iCs/>
                <w:sz w:val="24"/>
                <w:szCs w:val="24"/>
              </w:rPr>
            </w:pPr>
            <w:r>
              <w:rPr>
                <w:bCs/>
                <w:iCs/>
                <w:sz w:val="24"/>
                <w:szCs w:val="24"/>
              </w:rPr>
              <w:t>10 May</w:t>
            </w:r>
            <w:r w:rsidR="000B7997">
              <w:rPr>
                <w:bCs/>
                <w:iCs/>
                <w:sz w:val="24"/>
                <w:szCs w:val="24"/>
              </w:rPr>
              <w:t xml:space="preserve"> 202</w:t>
            </w:r>
            <w:r w:rsidR="00F26F27">
              <w:rPr>
                <w:bCs/>
                <w:iCs/>
                <w:sz w:val="24"/>
                <w:szCs w:val="24"/>
              </w:rPr>
              <w:t>3</w:t>
            </w:r>
          </w:p>
        </w:tc>
      </w:tr>
      <w:tr w:rsidR="00F926B7" w:rsidRPr="00512653" w:rsidTr="00A7734B">
        <w:trPr>
          <w:trHeight w:val="555"/>
        </w:trPr>
        <w:tc>
          <w:tcPr>
            <w:tcW w:w="3369" w:type="dxa"/>
            <w:tcBorders>
              <w:top w:val="single" w:sz="4" w:space="0" w:color="FFFFFF"/>
              <w:bottom w:val="single" w:sz="4" w:space="0" w:color="FFFFFF"/>
            </w:tcBorders>
            <w:shd w:val="clear" w:color="auto" w:fill="auto"/>
            <w:vAlign w:val="center"/>
          </w:tcPr>
          <w:p w:rsidR="00F926B7" w:rsidRPr="00512653" w:rsidRDefault="00F926B7" w:rsidP="00F926B7">
            <w:pPr>
              <w:spacing w:after="0" w:line="240" w:lineRule="auto"/>
              <w:rPr>
                <w:rFonts w:ascii="Calibri" w:eastAsia="Calibri" w:hAnsi="Calibri" w:cs="Times New Roman"/>
                <w:b/>
                <w:bCs/>
                <w:iCs/>
                <w:sz w:val="24"/>
                <w:szCs w:val="24"/>
                <w:lang w:val="en"/>
              </w:rPr>
            </w:pPr>
            <w:r>
              <w:rPr>
                <w:rFonts w:ascii="Calibri" w:eastAsia="Calibri" w:hAnsi="Calibri" w:cs="Times New Roman"/>
                <w:b/>
                <w:bCs/>
                <w:iCs/>
                <w:sz w:val="24"/>
                <w:szCs w:val="24"/>
                <w:lang w:val="en"/>
              </w:rPr>
              <w:t>Approved &amp; ratified by practice</w:t>
            </w:r>
          </w:p>
        </w:tc>
        <w:tc>
          <w:tcPr>
            <w:tcW w:w="3009" w:type="dxa"/>
            <w:gridSpan w:val="3"/>
            <w:shd w:val="clear" w:color="auto" w:fill="auto"/>
            <w:vAlign w:val="center"/>
          </w:tcPr>
          <w:p w:rsidR="00F926B7" w:rsidRPr="00512653" w:rsidRDefault="00F926B7" w:rsidP="00F926B7">
            <w:pPr>
              <w:spacing w:after="0" w:line="240" w:lineRule="auto"/>
              <w:rPr>
                <w:rFonts w:ascii="Calibri" w:eastAsia="Calibri" w:hAnsi="Calibri" w:cs="Times New Roman"/>
                <w:bCs/>
                <w:iCs/>
                <w:sz w:val="24"/>
                <w:szCs w:val="24"/>
              </w:rPr>
            </w:pPr>
            <w:r w:rsidRPr="00512653">
              <w:rPr>
                <w:rFonts w:ascii="Calibri" w:eastAsia="Calibri" w:hAnsi="Calibri" w:cs="Times New Roman"/>
                <w:bCs/>
                <w:iCs/>
                <w:sz w:val="24"/>
                <w:szCs w:val="24"/>
                <w:highlight w:val="yellow"/>
              </w:rPr>
              <w:t>[Insert name of Group]</w:t>
            </w:r>
          </w:p>
        </w:tc>
        <w:tc>
          <w:tcPr>
            <w:tcW w:w="3086" w:type="dxa"/>
            <w:shd w:val="clear" w:color="auto" w:fill="auto"/>
            <w:vAlign w:val="center"/>
          </w:tcPr>
          <w:p w:rsidR="00F926B7" w:rsidRPr="00512653" w:rsidRDefault="00F926B7" w:rsidP="00F926B7">
            <w:pPr>
              <w:spacing w:after="0" w:line="240" w:lineRule="auto"/>
              <w:rPr>
                <w:rFonts w:ascii="Calibri" w:eastAsia="Calibri" w:hAnsi="Calibri" w:cs="Times New Roman"/>
                <w:bCs/>
                <w:iCs/>
                <w:sz w:val="24"/>
                <w:szCs w:val="24"/>
              </w:rPr>
            </w:pPr>
            <w:r w:rsidRPr="00512653">
              <w:rPr>
                <w:rFonts w:ascii="Calibri" w:eastAsia="Calibri" w:hAnsi="Calibri" w:cs="Times New Roman"/>
                <w:bCs/>
                <w:iCs/>
                <w:sz w:val="24"/>
                <w:szCs w:val="24"/>
                <w:highlight w:val="yellow"/>
              </w:rPr>
              <w:t>Date: [XX-XX-XXXX]</w:t>
            </w:r>
          </w:p>
        </w:tc>
      </w:tr>
      <w:tr w:rsidR="00F926B7" w:rsidRPr="00512653" w:rsidTr="00A7734B">
        <w:trPr>
          <w:trHeight w:val="438"/>
        </w:trPr>
        <w:tc>
          <w:tcPr>
            <w:tcW w:w="3369" w:type="dxa"/>
            <w:tcBorders>
              <w:top w:val="single" w:sz="4" w:space="0" w:color="FFFFFF"/>
              <w:bottom w:val="single" w:sz="4" w:space="0" w:color="FFFFFF"/>
            </w:tcBorders>
            <w:shd w:val="clear" w:color="auto" w:fill="auto"/>
            <w:vAlign w:val="center"/>
          </w:tcPr>
          <w:p w:rsidR="00F926B7" w:rsidRPr="00512653" w:rsidRDefault="00F926B7" w:rsidP="00F926B7">
            <w:pPr>
              <w:spacing w:after="0" w:line="240" w:lineRule="auto"/>
              <w:rPr>
                <w:rFonts w:ascii="Calibri" w:eastAsia="Calibri" w:hAnsi="Calibri" w:cs="Times New Roman"/>
                <w:b/>
                <w:bCs/>
                <w:iCs/>
                <w:sz w:val="24"/>
                <w:szCs w:val="24"/>
                <w:lang w:val="en"/>
              </w:rPr>
            </w:pPr>
            <w:r>
              <w:rPr>
                <w:rFonts w:ascii="Calibri" w:eastAsia="Calibri" w:hAnsi="Calibri" w:cs="Times New Roman"/>
                <w:b/>
                <w:bCs/>
                <w:iCs/>
                <w:sz w:val="24"/>
                <w:szCs w:val="24"/>
                <w:lang w:val="en"/>
              </w:rPr>
              <w:t>Date issued by practice</w:t>
            </w:r>
          </w:p>
        </w:tc>
        <w:tc>
          <w:tcPr>
            <w:tcW w:w="6095" w:type="dxa"/>
            <w:gridSpan w:val="4"/>
            <w:shd w:val="clear" w:color="auto" w:fill="auto"/>
            <w:vAlign w:val="center"/>
          </w:tcPr>
          <w:p w:rsidR="00F926B7" w:rsidRPr="00512653" w:rsidRDefault="00F926B7" w:rsidP="00F926B7">
            <w:pPr>
              <w:spacing w:after="0" w:line="240" w:lineRule="auto"/>
              <w:rPr>
                <w:rFonts w:ascii="Calibri" w:eastAsia="Calibri" w:hAnsi="Calibri" w:cs="Times New Roman"/>
                <w:bCs/>
                <w:iCs/>
                <w:sz w:val="24"/>
                <w:szCs w:val="24"/>
              </w:rPr>
            </w:pPr>
            <w:r w:rsidRPr="00512653">
              <w:rPr>
                <w:rFonts w:ascii="Calibri" w:eastAsia="Calibri" w:hAnsi="Calibri" w:cs="Times New Roman"/>
                <w:bCs/>
                <w:iCs/>
                <w:sz w:val="24"/>
                <w:szCs w:val="24"/>
              </w:rPr>
              <w:t>[</w:t>
            </w:r>
            <w:r w:rsidRPr="00512653">
              <w:rPr>
                <w:rFonts w:ascii="Calibri" w:eastAsia="Calibri" w:hAnsi="Calibri" w:cs="Times New Roman"/>
                <w:bCs/>
                <w:iCs/>
                <w:sz w:val="24"/>
                <w:szCs w:val="24"/>
                <w:highlight w:val="yellow"/>
              </w:rPr>
              <w:t>XX-XX-XXXX</w:t>
            </w:r>
            <w:r w:rsidRPr="00512653">
              <w:rPr>
                <w:rFonts w:ascii="Calibri" w:eastAsia="Calibri" w:hAnsi="Calibri" w:cs="Times New Roman"/>
                <w:bCs/>
                <w:iCs/>
                <w:sz w:val="24"/>
                <w:szCs w:val="24"/>
              </w:rPr>
              <w:t>]</w:t>
            </w:r>
          </w:p>
        </w:tc>
      </w:tr>
      <w:tr w:rsidR="00F926B7" w:rsidRPr="00512653" w:rsidTr="00A7734B">
        <w:trPr>
          <w:trHeight w:val="416"/>
        </w:trPr>
        <w:tc>
          <w:tcPr>
            <w:tcW w:w="3369" w:type="dxa"/>
            <w:tcBorders>
              <w:top w:val="single" w:sz="4" w:space="0" w:color="FFFFFF"/>
              <w:bottom w:val="single" w:sz="4" w:space="0" w:color="0091C9"/>
            </w:tcBorders>
            <w:shd w:val="clear" w:color="auto" w:fill="auto"/>
            <w:vAlign w:val="center"/>
          </w:tcPr>
          <w:p w:rsidR="00F926B7" w:rsidRPr="00512653" w:rsidRDefault="00F926B7" w:rsidP="00F926B7">
            <w:pPr>
              <w:spacing w:after="0" w:line="240" w:lineRule="auto"/>
              <w:rPr>
                <w:rFonts w:ascii="Calibri" w:eastAsia="Calibri" w:hAnsi="Calibri" w:cs="Times New Roman"/>
                <w:b/>
                <w:bCs/>
                <w:iCs/>
                <w:sz w:val="24"/>
                <w:szCs w:val="24"/>
                <w:lang w:val="en"/>
              </w:rPr>
            </w:pPr>
            <w:r>
              <w:rPr>
                <w:rFonts w:ascii="Calibri" w:eastAsia="Calibri" w:hAnsi="Calibri" w:cs="Times New Roman"/>
                <w:b/>
                <w:bCs/>
                <w:iCs/>
                <w:sz w:val="24"/>
                <w:szCs w:val="24"/>
                <w:lang w:val="en"/>
              </w:rPr>
              <w:t xml:space="preserve">GP </w:t>
            </w:r>
            <w:r w:rsidRPr="00512653">
              <w:rPr>
                <w:rFonts w:ascii="Calibri" w:eastAsia="Calibri" w:hAnsi="Calibri" w:cs="Times New Roman"/>
                <w:b/>
                <w:bCs/>
                <w:iCs/>
                <w:sz w:val="24"/>
                <w:szCs w:val="24"/>
                <w:lang w:val="en"/>
              </w:rPr>
              <w:t>Review date:</w:t>
            </w:r>
          </w:p>
        </w:tc>
        <w:tc>
          <w:tcPr>
            <w:tcW w:w="6095" w:type="dxa"/>
            <w:gridSpan w:val="4"/>
            <w:tcBorders>
              <w:bottom w:val="single" w:sz="4" w:space="0" w:color="0091C9"/>
            </w:tcBorders>
            <w:shd w:val="clear" w:color="auto" w:fill="auto"/>
            <w:vAlign w:val="center"/>
          </w:tcPr>
          <w:p w:rsidR="00F926B7" w:rsidRPr="00512653" w:rsidRDefault="00F926B7" w:rsidP="00F926B7">
            <w:pPr>
              <w:spacing w:after="0" w:line="240" w:lineRule="auto"/>
              <w:rPr>
                <w:rFonts w:ascii="Calibri" w:eastAsia="Calibri" w:hAnsi="Calibri" w:cs="Times New Roman"/>
                <w:bCs/>
                <w:iCs/>
                <w:sz w:val="24"/>
                <w:szCs w:val="24"/>
              </w:rPr>
            </w:pPr>
            <w:r w:rsidRPr="00512653">
              <w:rPr>
                <w:rFonts w:ascii="Calibri" w:eastAsia="Calibri" w:hAnsi="Calibri" w:cs="Times New Roman"/>
                <w:bCs/>
                <w:iCs/>
                <w:sz w:val="24"/>
                <w:szCs w:val="24"/>
              </w:rPr>
              <w:t>[</w:t>
            </w:r>
            <w:r w:rsidRPr="00512653">
              <w:rPr>
                <w:rFonts w:ascii="Calibri" w:eastAsia="Calibri" w:hAnsi="Calibri" w:cs="Times New Roman"/>
                <w:bCs/>
                <w:iCs/>
                <w:sz w:val="24"/>
                <w:szCs w:val="24"/>
                <w:highlight w:val="yellow"/>
              </w:rPr>
              <w:t>XX-XX-XXXX</w:t>
            </w:r>
            <w:r w:rsidRPr="00512653">
              <w:rPr>
                <w:rFonts w:ascii="Calibri" w:eastAsia="Calibri" w:hAnsi="Calibri" w:cs="Times New Roman"/>
                <w:bCs/>
                <w:iCs/>
                <w:sz w:val="24"/>
                <w:szCs w:val="24"/>
              </w:rPr>
              <w:t>]</w:t>
            </w:r>
          </w:p>
        </w:tc>
      </w:tr>
    </w:tbl>
    <w:p w:rsidR="00512653" w:rsidRPr="00512653" w:rsidRDefault="00512653" w:rsidP="00512653">
      <w:pPr>
        <w:spacing w:after="0" w:line="240" w:lineRule="auto"/>
        <w:rPr>
          <w:rFonts w:ascii="Calibri" w:eastAsia="Calibri" w:hAnsi="Calibri" w:cs="Times New Roman"/>
          <w:bCs/>
          <w:iCs/>
          <w:sz w:val="24"/>
          <w:szCs w:val="24"/>
        </w:rPr>
      </w:pPr>
    </w:p>
    <w:p w:rsidR="00512653" w:rsidRPr="00E311B6" w:rsidRDefault="00512653" w:rsidP="00512653">
      <w:pPr>
        <w:spacing w:after="0" w:line="240" w:lineRule="auto"/>
        <w:rPr>
          <w:rFonts w:ascii="Calibri" w:eastAsia="Calibri" w:hAnsi="Calibri" w:cs="Times New Roman"/>
          <w:b/>
          <w:bCs/>
          <w:iCs/>
          <w:color w:val="00A499"/>
          <w:sz w:val="24"/>
          <w:szCs w:val="24"/>
        </w:rPr>
      </w:pPr>
      <w:r w:rsidRPr="00E311B6">
        <w:rPr>
          <w:rFonts w:ascii="Calibri" w:eastAsia="Calibri" w:hAnsi="Calibri" w:cs="Times New Roman"/>
          <w:b/>
          <w:bCs/>
          <w:iCs/>
          <w:color w:val="00A499"/>
          <w:sz w:val="24"/>
          <w:szCs w:val="24"/>
        </w:rPr>
        <w:t>Change record</w:t>
      </w:r>
    </w:p>
    <w:p w:rsidR="00512653" w:rsidRPr="00512653" w:rsidRDefault="00512653" w:rsidP="00512653">
      <w:pPr>
        <w:spacing w:after="0" w:line="240" w:lineRule="auto"/>
        <w:rPr>
          <w:rFonts w:ascii="Calibri" w:eastAsia="Calibri" w:hAnsi="Calibri" w:cs="Times New Roman"/>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992"/>
        <w:gridCol w:w="1418"/>
        <w:gridCol w:w="4536"/>
      </w:tblGrid>
      <w:tr w:rsidR="00512653" w:rsidRPr="00512653" w:rsidTr="00A7734B">
        <w:tc>
          <w:tcPr>
            <w:tcW w:w="1384" w:type="dxa"/>
          </w:tcPr>
          <w:p w:rsidR="00512653" w:rsidRPr="00512653" w:rsidRDefault="00512653" w:rsidP="00512653">
            <w:pPr>
              <w:spacing w:after="0" w:line="240" w:lineRule="auto"/>
              <w:rPr>
                <w:rFonts w:ascii="Calibri" w:eastAsia="Calibri" w:hAnsi="Calibri" w:cs="Times New Roman"/>
                <w:b/>
                <w:bCs/>
                <w:iCs/>
                <w:sz w:val="24"/>
                <w:szCs w:val="24"/>
              </w:rPr>
            </w:pPr>
            <w:r w:rsidRPr="00512653">
              <w:rPr>
                <w:rFonts w:ascii="Calibri" w:eastAsia="Calibri" w:hAnsi="Calibri" w:cs="Times New Roman"/>
                <w:b/>
                <w:bCs/>
                <w:iCs/>
                <w:sz w:val="24"/>
                <w:szCs w:val="24"/>
              </w:rPr>
              <w:t>Date</w:t>
            </w:r>
          </w:p>
        </w:tc>
        <w:tc>
          <w:tcPr>
            <w:tcW w:w="1134" w:type="dxa"/>
          </w:tcPr>
          <w:p w:rsidR="00512653" w:rsidRPr="00512653" w:rsidRDefault="00512653" w:rsidP="00512653">
            <w:pPr>
              <w:spacing w:after="0" w:line="240" w:lineRule="auto"/>
              <w:rPr>
                <w:rFonts w:ascii="Calibri" w:eastAsia="Calibri" w:hAnsi="Calibri" w:cs="Times New Roman"/>
                <w:b/>
                <w:bCs/>
                <w:iCs/>
                <w:sz w:val="24"/>
                <w:szCs w:val="24"/>
              </w:rPr>
            </w:pPr>
            <w:r w:rsidRPr="00512653">
              <w:rPr>
                <w:rFonts w:ascii="Calibri" w:eastAsia="Calibri" w:hAnsi="Calibri" w:cs="Times New Roman"/>
                <w:b/>
                <w:bCs/>
                <w:iCs/>
                <w:sz w:val="24"/>
                <w:szCs w:val="24"/>
              </w:rPr>
              <w:t xml:space="preserve">Author </w:t>
            </w:r>
          </w:p>
        </w:tc>
        <w:tc>
          <w:tcPr>
            <w:tcW w:w="992" w:type="dxa"/>
          </w:tcPr>
          <w:p w:rsidR="00512653" w:rsidRPr="00512653" w:rsidRDefault="00512653" w:rsidP="00512653">
            <w:pPr>
              <w:spacing w:after="0" w:line="240" w:lineRule="auto"/>
              <w:rPr>
                <w:rFonts w:ascii="Calibri" w:eastAsia="Calibri" w:hAnsi="Calibri" w:cs="Times New Roman"/>
                <w:b/>
                <w:bCs/>
                <w:iCs/>
                <w:sz w:val="24"/>
                <w:szCs w:val="24"/>
              </w:rPr>
            </w:pPr>
            <w:r w:rsidRPr="00512653">
              <w:rPr>
                <w:rFonts w:ascii="Calibri" w:eastAsia="Calibri" w:hAnsi="Calibri" w:cs="Times New Roman"/>
                <w:b/>
                <w:bCs/>
                <w:iCs/>
                <w:sz w:val="24"/>
                <w:szCs w:val="24"/>
              </w:rPr>
              <w:t xml:space="preserve">Version </w:t>
            </w:r>
          </w:p>
        </w:tc>
        <w:tc>
          <w:tcPr>
            <w:tcW w:w="1418" w:type="dxa"/>
          </w:tcPr>
          <w:p w:rsidR="00512653" w:rsidRPr="00512653" w:rsidRDefault="00512653" w:rsidP="00512653">
            <w:pPr>
              <w:spacing w:after="0" w:line="240" w:lineRule="auto"/>
              <w:rPr>
                <w:rFonts w:ascii="Calibri" w:eastAsia="Calibri" w:hAnsi="Calibri" w:cs="Times New Roman"/>
                <w:b/>
                <w:bCs/>
                <w:iCs/>
                <w:sz w:val="24"/>
                <w:szCs w:val="24"/>
              </w:rPr>
            </w:pPr>
            <w:r w:rsidRPr="00512653">
              <w:rPr>
                <w:rFonts w:ascii="Calibri" w:eastAsia="Calibri" w:hAnsi="Calibri" w:cs="Times New Roman"/>
                <w:b/>
                <w:bCs/>
                <w:iCs/>
                <w:sz w:val="24"/>
                <w:szCs w:val="24"/>
              </w:rPr>
              <w:t>Page</w:t>
            </w:r>
          </w:p>
        </w:tc>
        <w:tc>
          <w:tcPr>
            <w:tcW w:w="4536" w:type="dxa"/>
          </w:tcPr>
          <w:p w:rsidR="00512653" w:rsidRPr="00512653" w:rsidRDefault="00512653" w:rsidP="00512653">
            <w:pPr>
              <w:spacing w:after="0" w:line="240" w:lineRule="auto"/>
              <w:rPr>
                <w:rFonts w:ascii="Calibri" w:eastAsia="Calibri" w:hAnsi="Calibri" w:cs="Times New Roman"/>
                <w:b/>
                <w:bCs/>
                <w:iCs/>
                <w:sz w:val="24"/>
                <w:szCs w:val="24"/>
              </w:rPr>
            </w:pPr>
            <w:r w:rsidRPr="00512653">
              <w:rPr>
                <w:rFonts w:ascii="Calibri" w:eastAsia="Calibri" w:hAnsi="Calibri" w:cs="Times New Roman"/>
                <w:b/>
                <w:bCs/>
                <w:iCs/>
                <w:sz w:val="24"/>
                <w:szCs w:val="24"/>
              </w:rPr>
              <w:t xml:space="preserve">Reason for Change </w:t>
            </w:r>
          </w:p>
        </w:tc>
      </w:tr>
      <w:tr w:rsidR="00512653" w:rsidRPr="00512653" w:rsidTr="00A7734B">
        <w:tc>
          <w:tcPr>
            <w:tcW w:w="1384" w:type="dxa"/>
          </w:tcPr>
          <w:p w:rsidR="00512653" w:rsidRPr="00512653" w:rsidRDefault="00F7288C" w:rsidP="00512653">
            <w:pPr>
              <w:spacing w:after="0" w:line="240" w:lineRule="auto"/>
              <w:rPr>
                <w:rFonts w:ascii="Calibri" w:eastAsia="Calibri" w:hAnsi="Calibri" w:cs="Times New Roman"/>
                <w:bCs/>
                <w:iCs/>
                <w:sz w:val="24"/>
                <w:szCs w:val="24"/>
              </w:rPr>
            </w:pPr>
            <w:r>
              <w:rPr>
                <w:rFonts w:ascii="Calibri" w:eastAsia="Calibri" w:hAnsi="Calibri" w:cs="Times New Roman"/>
                <w:bCs/>
                <w:iCs/>
                <w:sz w:val="24"/>
                <w:szCs w:val="24"/>
              </w:rPr>
              <w:t>27.08</w:t>
            </w:r>
            <w:r w:rsidR="00512653" w:rsidRPr="00512653">
              <w:rPr>
                <w:rFonts w:ascii="Calibri" w:eastAsia="Calibri" w:hAnsi="Calibri" w:cs="Times New Roman"/>
                <w:bCs/>
                <w:iCs/>
                <w:sz w:val="24"/>
                <w:szCs w:val="24"/>
              </w:rPr>
              <w:t>.2020</w:t>
            </w:r>
          </w:p>
        </w:tc>
        <w:tc>
          <w:tcPr>
            <w:tcW w:w="1134" w:type="dxa"/>
          </w:tcPr>
          <w:p w:rsidR="00512653" w:rsidRPr="00512653" w:rsidRDefault="00512653" w:rsidP="00512653">
            <w:pPr>
              <w:spacing w:after="0" w:line="240" w:lineRule="auto"/>
              <w:rPr>
                <w:rFonts w:ascii="Calibri" w:eastAsia="Calibri" w:hAnsi="Calibri" w:cs="Times New Roman"/>
                <w:bCs/>
                <w:iCs/>
                <w:sz w:val="24"/>
                <w:szCs w:val="24"/>
              </w:rPr>
            </w:pPr>
            <w:r w:rsidRPr="00512653">
              <w:rPr>
                <w:rFonts w:ascii="Calibri" w:eastAsia="Calibri" w:hAnsi="Calibri" w:cs="Times New Roman"/>
                <w:bCs/>
                <w:iCs/>
                <w:sz w:val="24"/>
                <w:szCs w:val="24"/>
              </w:rPr>
              <w:t>SCW</w:t>
            </w:r>
          </w:p>
        </w:tc>
        <w:tc>
          <w:tcPr>
            <w:tcW w:w="992" w:type="dxa"/>
          </w:tcPr>
          <w:p w:rsidR="00512653" w:rsidRPr="00512653" w:rsidRDefault="00512653" w:rsidP="00512653">
            <w:pPr>
              <w:spacing w:after="0" w:line="240" w:lineRule="auto"/>
              <w:rPr>
                <w:rFonts w:ascii="Calibri" w:eastAsia="Calibri" w:hAnsi="Calibri" w:cs="Times New Roman"/>
                <w:bCs/>
                <w:iCs/>
                <w:sz w:val="24"/>
                <w:szCs w:val="24"/>
              </w:rPr>
            </w:pPr>
            <w:r w:rsidRPr="00512653">
              <w:rPr>
                <w:rFonts w:ascii="Calibri" w:eastAsia="Calibri" w:hAnsi="Calibri" w:cs="Times New Roman"/>
                <w:bCs/>
                <w:iCs/>
                <w:sz w:val="24"/>
                <w:szCs w:val="24"/>
              </w:rPr>
              <w:t>1</w:t>
            </w:r>
          </w:p>
        </w:tc>
        <w:tc>
          <w:tcPr>
            <w:tcW w:w="1418" w:type="dxa"/>
          </w:tcPr>
          <w:p w:rsidR="00512653" w:rsidRPr="00512653" w:rsidRDefault="00512653" w:rsidP="00512653">
            <w:pPr>
              <w:spacing w:after="0" w:line="240" w:lineRule="auto"/>
              <w:rPr>
                <w:rFonts w:ascii="Calibri" w:eastAsia="Calibri" w:hAnsi="Calibri" w:cs="Times New Roman"/>
                <w:bCs/>
                <w:iCs/>
                <w:sz w:val="24"/>
                <w:szCs w:val="24"/>
              </w:rPr>
            </w:pPr>
            <w:r w:rsidRPr="00512653">
              <w:rPr>
                <w:rFonts w:ascii="Calibri" w:eastAsia="Calibri" w:hAnsi="Calibri" w:cs="Times New Roman"/>
                <w:bCs/>
                <w:iCs/>
                <w:sz w:val="24"/>
                <w:szCs w:val="24"/>
              </w:rPr>
              <w:t>All</w:t>
            </w:r>
          </w:p>
        </w:tc>
        <w:tc>
          <w:tcPr>
            <w:tcW w:w="4536" w:type="dxa"/>
          </w:tcPr>
          <w:p w:rsidR="00512653" w:rsidRPr="00512653" w:rsidRDefault="00512653" w:rsidP="00512653">
            <w:pPr>
              <w:spacing w:after="0" w:line="240" w:lineRule="auto"/>
              <w:rPr>
                <w:rFonts w:ascii="Calibri" w:eastAsia="Calibri" w:hAnsi="Calibri" w:cs="Times New Roman"/>
                <w:bCs/>
                <w:iCs/>
                <w:sz w:val="24"/>
                <w:szCs w:val="24"/>
              </w:rPr>
            </w:pPr>
            <w:r w:rsidRPr="00512653">
              <w:rPr>
                <w:rFonts w:ascii="Calibri" w:eastAsia="Calibri" w:hAnsi="Calibri" w:cs="Times New Roman"/>
                <w:bCs/>
                <w:iCs/>
                <w:sz w:val="24"/>
                <w:szCs w:val="24"/>
              </w:rPr>
              <w:t>Review for Website publication</w:t>
            </w:r>
          </w:p>
        </w:tc>
      </w:tr>
      <w:tr w:rsidR="0019347B" w:rsidRPr="00512653" w:rsidTr="00A7734B">
        <w:tc>
          <w:tcPr>
            <w:tcW w:w="1384" w:type="dxa"/>
          </w:tcPr>
          <w:p w:rsidR="0019347B" w:rsidRDefault="0019347B" w:rsidP="00512653">
            <w:pPr>
              <w:spacing w:after="0" w:line="240" w:lineRule="auto"/>
              <w:rPr>
                <w:rFonts w:ascii="Calibri" w:eastAsia="Calibri" w:hAnsi="Calibri" w:cs="Times New Roman"/>
                <w:bCs/>
                <w:iCs/>
                <w:sz w:val="24"/>
                <w:szCs w:val="24"/>
              </w:rPr>
            </w:pPr>
            <w:r>
              <w:rPr>
                <w:rFonts w:ascii="Calibri" w:eastAsia="Calibri" w:hAnsi="Calibri" w:cs="Times New Roman"/>
                <w:bCs/>
                <w:iCs/>
                <w:sz w:val="24"/>
                <w:szCs w:val="24"/>
              </w:rPr>
              <w:t>29.10.2021</w:t>
            </w:r>
          </w:p>
        </w:tc>
        <w:tc>
          <w:tcPr>
            <w:tcW w:w="1134" w:type="dxa"/>
          </w:tcPr>
          <w:p w:rsidR="0019347B" w:rsidRPr="00512653" w:rsidRDefault="0019347B" w:rsidP="00512653">
            <w:pPr>
              <w:spacing w:after="0" w:line="240" w:lineRule="auto"/>
              <w:rPr>
                <w:rFonts w:ascii="Calibri" w:eastAsia="Calibri" w:hAnsi="Calibri" w:cs="Times New Roman"/>
                <w:bCs/>
                <w:iCs/>
                <w:sz w:val="24"/>
                <w:szCs w:val="24"/>
              </w:rPr>
            </w:pPr>
            <w:r>
              <w:rPr>
                <w:rFonts w:ascii="Calibri" w:eastAsia="Calibri" w:hAnsi="Calibri" w:cs="Times New Roman"/>
                <w:bCs/>
                <w:iCs/>
                <w:sz w:val="24"/>
                <w:szCs w:val="24"/>
              </w:rPr>
              <w:t>SCW</w:t>
            </w:r>
          </w:p>
        </w:tc>
        <w:tc>
          <w:tcPr>
            <w:tcW w:w="992" w:type="dxa"/>
          </w:tcPr>
          <w:p w:rsidR="0019347B" w:rsidRPr="00512653" w:rsidRDefault="0019347B" w:rsidP="00512653">
            <w:pPr>
              <w:spacing w:after="0" w:line="240" w:lineRule="auto"/>
              <w:rPr>
                <w:rFonts w:ascii="Calibri" w:eastAsia="Calibri" w:hAnsi="Calibri" w:cs="Times New Roman"/>
                <w:bCs/>
                <w:iCs/>
                <w:sz w:val="24"/>
                <w:szCs w:val="24"/>
              </w:rPr>
            </w:pPr>
            <w:r>
              <w:rPr>
                <w:rFonts w:ascii="Calibri" w:eastAsia="Calibri" w:hAnsi="Calibri" w:cs="Times New Roman"/>
                <w:bCs/>
                <w:iCs/>
                <w:sz w:val="24"/>
                <w:szCs w:val="24"/>
              </w:rPr>
              <w:t>1.1</w:t>
            </w:r>
          </w:p>
        </w:tc>
        <w:tc>
          <w:tcPr>
            <w:tcW w:w="1418" w:type="dxa"/>
          </w:tcPr>
          <w:p w:rsidR="0019347B" w:rsidRPr="00512653" w:rsidRDefault="0019347B" w:rsidP="00512653">
            <w:pPr>
              <w:spacing w:after="0" w:line="240" w:lineRule="auto"/>
              <w:rPr>
                <w:rFonts w:ascii="Calibri" w:eastAsia="Calibri" w:hAnsi="Calibri" w:cs="Times New Roman"/>
                <w:bCs/>
                <w:iCs/>
                <w:sz w:val="24"/>
                <w:szCs w:val="24"/>
              </w:rPr>
            </w:pPr>
            <w:r>
              <w:rPr>
                <w:rFonts w:ascii="Calibri" w:eastAsia="Calibri" w:hAnsi="Calibri" w:cs="Times New Roman"/>
                <w:bCs/>
                <w:iCs/>
                <w:sz w:val="24"/>
                <w:szCs w:val="24"/>
              </w:rPr>
              <w:t>All</w:t>
            </w:r>
          </w:p>
        </w:tc>
        <w:tc>
          <w:tcPr>
            <w:tcW w:w="4536" w:type="dxa"/>
          </w:tcPr>
          <w:p w:rsidR="0019347B" w:rsidRPr="00512653" w:rsidRDefault="0019347B" w:rsidP="00512653">
            <w:pPr>
              <w:spacing w:after="0" w:line="240" w:lineRule="auto"/>
              <w:rPr>
                <w:rFonts w:ascii="Calibri" w:eastAsia="Calibri" w:hAnsi="Calibri" w:cs="Times New Roman"/>
                <w:bCs/>
                <w:iCs/>
                <w:sz w:val="24"/>
                <w:szCs w:val="24"/>
              </w:rPr>
            </w:pPr>
            <w:r>
              <w:rPr>
                <w:rFonts w:ascii="Calibri" w:eastAsia="Calibri" w:hAnsi="Calibri" w:cs="Times New Roman"/>
                <w:bCs/>
                <w:iCs/>
                <w:sz w:val="24"/>
                <w:szCs w:val="24"/>
              </w:rPr>
              <w:t>Updated to reflect changes in NDOO and Type 1 Opt Out programme.</w:t>
            </w:r>
          </w:p>
        </w:tc>
      </w:tr>
      <w:tr w:rsidR="000B7997" w:rsidRPr="00512653" w:rsidTr="00A7734B">
        <w:tc>
          <w:tcPr>
            <w:tcW w:w="1384" w:type="dxa"/>
          </w:tcPr>
          <w:p w:rsidR="000B7997" w:rsidRDefault="000B7997" w:rsidP="00512653">
            <w:pPr>
              <w:spacing w:after="0" w:line="240" w:lineRule="auto"/>
              <w:rPr>
                <w:rFonts w:ascii="Calibri" w:eastAsia="Calibri" w:hAnsi="Calibri" w:cs="Times New Roman"/>
                <w:bCs/>
                <w:iCs/>
                <w:sz w:val="24"/>
                <w:szCs w:val="24"/>
              </w:rPr>
            </w:pPr>
            <w:r>
              <w:rPr>
                <w:rFonts w:ascii="Calibri" w:eastAsia="Calibri" w:hAnsi="Calibri" w:cs="Times New Roman"/>
                <w:bCs/>
                <w:iCs/>
                <w:sz w:val="24"/>
                <w:szCs w:val="24"/>
              </w:rPr>
              <w:t>31/3/2022</w:t>
            </w:r>
          </w:p>
        </w:tc>
        <w:tc>
          <w:tcPr>
            <w:tcW w:w="1134" w:type="dxa"/>
          </w:tcPr>
          <w:p w:rsidR="000B7997" w:rsidRDefault="000B7997" w:rsidP="00512653">
            <w:pPr>
              <w:spacing w:after="0" w:line="240" w:lineRule="auto"/>
              <w:rPr>
                <w:rFonts w:ascii="Calibri" w:eastAsia="Calibri" w:hAnsi="Calibri" w:cs="Times New Roman"/>
                <w:bCs/>
                <w:iCs/>
                <w:sz w:val="24"/>
                <w:szCs w:val="24"/>
              </w:rPr>
            </w:pPr>
            <w:r>
              <w:rPr>
                <w:rFonts w:ascii="Calibri" w:eastAsia="Calibri" w:hAnsi="Calibri" w:cs="Times New Roman"/>
                <w:bCs/>
                <w:iCs/>
                <w:sz w:val="24"/>
                <w:szCs w:val="24"/>
              </w:rPr>
              <w:t>SCW</w:t>
            </w:r>
          </w:p>
        </w:tc>
        <w:tc>
          <w:tcPr>
            <w:tcW w:w="992" w:type="dxa"/>
          </w:tcPr>
          <w:p w:rsidR="000B7997" w:rsidRDefault="000B7997" w:rsidP="00512653">
            <w:pPr>
              <w:spacing w:after="0" w:line="240" w:lineRule="auto"/>
              <w:rPr>
                <w:rFonts w:ascii="Calibri" w:eastAsia="Calibri" w:hAnsi="Calibri" w:cs="Times New Roman"/>
                <w:bCs/>
                <w:iCs/>
                <w:sz w:val="24"/>
                <w:szCs w:val="24"/>
              </w:rPr>
            </w:pPr>
            <w:r>
              <w:rPr>
                <w:rFonts w:ascii="Calibri" w:eastAsia="Calibri" w:hAnsi="Calibri" w:cs="Times New Roman"/>
                <w:bCs/>
                <w:iCs/>
                <w:sz w:val="24"/>
                <w:szCs w:val="24"/>
              </w:rPr>
              <w:t>1.2</w:t>
            </w:r>
          </w:p>
        </w:tc>
        <w:tc>
          <w:tcPr>
            <w:tcW w:w="1418" w:type="dxa"/>
          </w:tcPr>
          <w:p w:rsidR="000B7997" w:rsidRDefault="000B7997" w:rsidP="00512653">
            <w:pPr>
              <w:spacing w:after="0" w:line="240" w:lineRule="auto"/>
              <w:rPr>
                <w:rFonts w:ascii="Calibri" w:eastAsia="Calibri" w:hAnsi="Calibri" w:cs="Times New Roman"/>
                <w:bCs/>
                <w:iCs/>
                <w:sz w:val="24"/>
                <w:szCs w:val="24"/>
              </w:rPr>
            </w:pPr>
            <w:r>
              <w:rPr>
                <w:rFonts w:ascii="Calibri" w:eastAsia="Calibri" w:hAnsi="Calibri" w:cs="Times New Roman"/>
                <w:bCs/>
                <w:iCs/>
                <w:sz w:val="24"/>
                <w:szCs w:val="24"/>
              </w:rPr>
              <w:t>All</w:t>
            </w:r>
          </w:p>
        </w:tc>
        <w:tc>
          <w:tcPr>
            <w:tcW w:w="4536" w:type="dxa"/>
          </w:tcPr>
          <w:p w:rsidR="000B7997" w:rsidRDefault="000B7997" w:rsidP="00512653">
            <w:pPr>
              <w:spacing w:after="0" w:line="240" w:lineRule="auto"/>
              <w:rPr>
                <w:rFonts w:ascii="Calibri" w:eastAsia="Calibri" w:hAnsi="Calibri" w:cs="Times New Roman"/>
                <w:bCs/>
                <w:iCs/>
                <w:sz w:val="24"/>
                <w:szCs w:val="24"/>
              </w:rPr>
            </w:pPr>
            <w:r>
              <w:rPr>
                <w:rFonts w:ascii="Calibri" w:eastAsia="Calibri" w:hAnsi="Calibri" w:cs="Times New Roman"/>
                <w:bCs/>
                <w:iCs/>
                <w:sz w:val="24"/>
                <w:szCs w:val="24"/>
              </w:rPr>
              <w:t>Updated to reflect changes in NDOO compliance</w:t>
            </w:r>
          </w:p>
        </w:tc>
      </w:tr>
      <w:tr w:rsidR="00C71987" w:rsidRPr="00512653" w:rsidTr="00A7734B">
        <w:tc>
          <w:tcPr>
            <w:tcW w:w="1384" w:type="dxa"/>
          </w:tcPr>
          <w:p w:rsidR="00C71987" w:rsidRDefault="00C71987" w:rsidP="00512653">
            <w:pPr>
              <w:spacing w:after="0" w:line="240" w:lineRule="auto"/>
              <w:rPr>
                <w:rFonts w:ascii="Calibri" w:eastAsia="Calibri" w:hAnsi="Calibri" w:cs="Times New Roman"/>
                <w:bCs/>
                <w:iCs/>
                <w:sz w:val="24"/>
                <w:szCs w:val="24"/>
              </w:rPr>
            </w:pPr>
            <w:r>
              <w:rPr>
                <w:rFonts w:ascii="Calibri" w:eastAsia="Calibri" w:hAnsi="Calibri" w:cs="Times New Roman"/>
                <w:bCs/>
                <w:iCs/>
                <w:sz w:val="24"/>
                <w:szCs w:val="24"/>
              </w:rPr>
              <w:t>19/01/2023</w:t>
            </w:r>
          </w:p>
        </w:tc>
        <w:tc>
          <w:tcPr>
            <w:tcW w:w="1134" w:type="dxa"/>
          </w:tcPr>
          <w:p w:rsidR="00C71987" w:rsidRDefault="00C71987" w:rsidP="00512653">
            <w:pPr>
              <w:spacing w:after="0" w:line="240" w:lineRule="auto"/>
              <w:rPr>
                <w:rFonts w:ascii="Calibri" w:eastAsia="Calibri" w:hAnsi="Calibri" w:cs="Times New Roman"/>
                <w:bCs/>
                <w:iCs/>
                <w:sz w:val="24"/>
                <w:szCs w:val="24"/>
              </w:rPr>
            </w:pPr>
            <w:r>
              <w:rPr>
                <w:rFonts w:ascii="Calibri" w:eastAsia="Calibri" w:hAnsi="Calibri" w:cs="Times New Roman"/>
                <w:bCs/>
                <w:iCs/>
                <w:sz w:val="24"/>
                <w:szCs w:val="24"/>
              </w:rPr>
              <w:t>SCW</w:t>
            </w:r>
          </w:p>
        </w:tc>
        <w:tc>
          <w:tcPr>
            <w:tcW w:w="992" w:type="dxa"/>
          </w:tcPr>
          <w:p w:rsidR="00C71987" w:rsidRDefault="00C71987" w:rsidP="00512653">
            <w:pPr>
              <w:spacing w:after="0" w:line="240" w:lineRule="auto"/>
              <w:rPr>
                <w:rFonts w:ascii="Calibri" w:eastAsia="Calibri" w:hAnsi="Calibri" w:cs="Times New Roman"/>
                <w:bCs/>
                <w:iCs/>
                <w:sz w:val="24"/>
                <w:szCs w:val="24"/>
              </w:rPr>
            </w:pPr>
            <w:r>
              <w:rPr>
                <w:rFonts w:ascii="Calibri" w:eastAsia="Calibri" w:hAnsi="Calibri" w:cs="Times New Roman"/>
                <w:bCs/>
                <w:iCs/>
                <w:sz w:val="24"/>
                <w:szCs w:val="24"/>
              </w:rPr>
              <w:t>1.3</w:t>
            </w:r>
          </w:p>
        </w:tc>
        <w:tc>
          <w:tcPr>
            <w:tcW w:w="1418" w:type="dxa"/>
          </w:tcPr>
          <w:p w:rsidR="00C71987" w:rsidRDefault="00C71987" w:rsidP="00512653">
            <w:pPr>
              <w:spacing w:after="0" w:line="240" w:lineRule="auto"/>
              <w:rPr>
                <w:rFonts w:ascii="Calibri" w:eastAsia="Calibri" w:hAnsi="Calibri" w:cs="Times New Roman"/>
                <w:bCs/>
                <w:iCs/>
                <w:sz w:val="24"/>
                <w:szCs w:val="24"/>
              </w:rPr>
            </w:pPr>
            <w:r>
              <w:rPr>
                <w:rFonts w:ascii="Calibri" w:eastAsia="Calibri" w:hAnsi="Calibri" w:cs="Times New Roman"/>
                <w:bCs/>
                <w:iCs/>
                <w:sz w:val="24"/>
                <w:szCs w:val="24"/>
              </w:rPr>
              <w:t>All</w:t>
            </w:r>
          </w:p>
        </w:tc>
        <w:tc>
          <w:tcPr>
            <w:tcW w:w="4536" w:type="dxa"/>
          </w:tcPr>
          <w:p w:rsidR="00C71987" w:rsidRDefault="00C71987" w:rsidP="00512653">
            <w:pPr>
              <w:spacing w:after="0" w:line="240" w:lineRule="auto"/>
              <w:rPr>
                <w:rFonts w:ascii="Calibri" w:eastAsia="Calibri" w:hAnsi="Calibri" w:cs="Times New Roman"/>
                <w:bCs/>
                <w:iCs/>
                <w:sz w:val="24"/>
                <w:szCs w:val="24"/>
              </w:rPr>
            </w:pPr>
            <w:r>
              <w:rPr>
                <w:rFonts w:ascii="Calibri" w:eastAsia="Calibri" w:hAnsi="Calibri" w:cs="Times New Roman"/>
                <w:bCs/>
                <w:iCs/>
                <w:sz w:val="24"/>
                <w:szCs w:val="24"/>
              </w:rPr>
              <w:t>Reviewed</w:t>
            </w:r>
            <w:r w:rsidR="001857A7">
              <w:rPr>
                <w:rFonts w:ascii="Calibri" w:eastAsia="Calibri" w:hAnsi="Calibri" w:cs="Times New Roman"/>
                <w:bCs/>
                <w:iCs/>
                <w:sz w:val="24"/>
                <w:szCs w:val="24"/>
              </w:rPr>
              <w:t xml:space="preserve"> and updated to reflect that the compliance date has now passed</w:t>
            </w:r>
          </w:p>
        </w:tc>
      </w:tr>
    </w:tbl>
    <w:p w:rsidR="00512653" w:rsidRDefault="00512653"/>
    <w:sectPr w:rsidR="00512653" w:rsidSect="00D55167">
      <w:headerReference w:type="default" r:id="rId31"/>
      <w:footerReference w:type="default" r:id="rId32"/>
      <w:pgSz w:w="11906" w:h="16838"/>
      <w:pgMar w:top="1701" w:right="1440" w:bottom="1276" w:left="144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4959" w:rsidRDefault="00F24959" w:rsidP="003126EF">
      <w:pPr>
        <w:spacing w:after="0" w:line="240" w:lineRule="auto"/>
      </w:pPr>
      <w:r>
        <w:separator/>
      </w:r>
    </w:p>
  </w:endnote>
  <w:endnote w:type="continuationSeparator" w:id="0">
    <w:p w:rsidR="00F24959" w:rsidRDefault="00F24959" w:rsidP="0031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038381"/>
      <w:docPartObj>
        <w:docPartGallery w:val="Page Numbers (Bottom of Page)"/>
        <w:docPartUnique/>
      </w:docPartObj>
    </w:sdtPr>
    <w:sdtEndPr/>
    <w:sdtContent>
      <w:p w:rsidR="00C9379B" w:rsidRPr="0038596C" w:rsidRDefault="00F02B5E" w:rsidP="00F02B5E">
        <w:pPr>
          <w:pStyle w:val="Footer"/>
          <w:jc w:val="right"/>
          <w:rPr>
            <w:rFonts w:ascii="Calibri" w:hAnsi="Calibri" w:cs="Calibri"/>
          </w:rPr>
        </w:pPr>
        <w:r>
          <w:tab/>
        </w:r>
        <w:r w:rsidR="00C9379B">
          <w:t xml:space="preserve">Page | </w:t>
        </w:r>
        <w:r w:rsidR="00C9379B">
          <w:fldChar w:fldCharType="begin"/>
        </w:r>
        <w:r w:rsidR="00C9379B">
          <w:instrText xml:space="preserve"> PAGE   \* MERGEFORMAT </w:instrText>
        </w:r>
        <w:r w:rsidR="00C9379B">
          <w:fldChar w:fldCharType="separate"/>
        </w:r>
        <w:r w:rsidR="00C15E69">
          <w:rPr>
            <w:noProof/>
          </w:rPr>
          <w:t>7</w:t>
        </w:r>
        <w:r w:rsidR="00C9379B">
          <w:rPr>
            <w:noProof/>
          </w:rPr>
          <w:fldChar w:fldCharType="end"/>
        </w:r>
        <w:r w:rsidR="00C9379B" w:rsidRPr="0038596C">
          <w:rPr>
            <w:rFonts w:ascii="Calibri" w:hAnsi="Calibri" w:cs="Calibri"/>
          </w:rPr>
          <w:tab/>
        </w:r>
      </w:p>
      <w:p w:rsidR="00C9379B" w:rsidRDefault="00551F3C" w:rsidP="00551F3C">
        <w:pPr>
          <w:pStyle w:val="Footer"/>
          <w:tabs>
            <w:tab w:val="clear" w:pos="4513"/>
            <w:tab w:val="clear" w:pos="9026"/>
            <w:tab w:val="left" w:pos="5688"/>
          </w:tabs>
        </w:pPr>
        <w:r>
          <w:tab/>
        </w:r>
      </w:p>
    </w:sdtContent>
  </w:sdt>
  <w:p w:rsidR="0038596C" w:rsidRDefault="00C9379B" w:rsidP="00C9379B">
    <w:pPr>
      <w:pStyle w:val="Footer"/>
      <w:ind w:left="-1134"/>
    </w:pPr>
    <w:r>
      <w:rPr>
        <w:noProof/>
        <w:lang w:eastAsia="en-GB"/>
      </w:rPr>
      <w:drawing>
        <wp:inline distT="0" distB="0" distL="0" distR="0" wp14:anchorId="66241A1C" wp14:editId="120AA461">
          <wp:extent cx="3607200" cy="255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rsidR="00D55167" w:rsidRDefault="00D55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4959" w:rsidRDefault="00F24959" w:rsidP="003126EF">
      <w:pPr>
        <w:spacing w:after="0" w:line="240" w:lineRule="auto"/>
      </w:pPr>
      <w:r>
        <w:separator/>
      </w:r>
    </w:p>
  </w:footnote>
  <w:footnote w:type="continuationSeparator" w:id="0">
    <w:p w:rsidR="00F24959" w:rsidRDefault="00F24959" w:rsidP="00312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26EF" w:rsidRDefault="00856F72">
    <w:pPr>
      <w:pStyle w:val="Header"/>
    </w:pPr>
    <w:r>
      <w:rPr>
        <w:noProof/>
        <w:lang w:eastAsia="en-GB"/>
      </w:rPr>
      <w:drawing>
        <wp:anchor distT="0" distB="0" distL="114300" distR="114300" simplePos="0" relativeHeight="251657216" behindDoc="0" locked="0" layoutInCell="1" allowOverlap="1" wp14:anchorId="513E2C20" wp14:editId="592FA12A">
          <wp:simplePos x="0" y="0"/>
          <wp:positionH relativeFrom="column">
            <wp:posOffset>-600710</wp:posOffset>
          </wp:positionH>
          <wp:positionV relativeFrom="paragraph">
            <wp:posOffset>-244475</wp:posOffset>
          </wp:positionV>
          <wp:extent cx="1069340" cy="793115"/>
          <wp:effectExtent l="0" t="0" r="0" b="6985"/>
          <wp:wrapTopAndBottom/>
          <wp:docPr id="1" name="Picture 1" descr="SCW Hummingbi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W Hummingbird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 cy="793115"/>
                  </a:xfrm>
                  <a:prstGeom prst="rect">
                    <a:avLst/>
                  </a:prstGeom>
                  <a:noFill/>
                  <a:ln>
                    <a:noFill/>
                  </a:ln>
                </pic:spPr>
              </pic:pic>
            </a:graphicData>
          </a:graphic>
        </wp:anchor>
      </w:drawing>
    </w:r>
    <w:r>
      <w:rPr>
        <w:noProof/>
        <w:lang w:eastAsia="en-GB"/>
      </w:rPr>
      <w:drawing>
        <wp:anchor distT="0" distB="0" distL="114300" distR="114300" simplePos="0" relativeHeight="251661312" behindDoc="0" locked="0" layoutInCell="1" allowOverlap="1" wp14:anchorId="1346A46C" wp14:editId="181E86BF">
          <wp:simplePos x="0" y="0"/>
          <wp:positionH relativeFrom="column">
            <wp:posOffset>4253865</wp:posOffset>
          </wp:positionH>
          <wp:positionV relativeFrom="paragraph">
            <wp:posOffset>-285750</wp:posOffset>
          </wp:positionV>
          <wp:extent cx="2232025" cy="79121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W-NHS-BLUE.jpg"/>
                  <pic:cNvPicPr/>
                </pic:nvPicPr>
                <pic:blipFill>
                  <a:blip r:embed="rId2">
                    <a:extLst>
                      <a:ext uri="{28A0092B-C50C-407E-A947-70E740481C1C}">
                        <a14:useLocalDpi xmlns:a14="http://schemas.microsoft.com/office/drawing/2010/main" val="0"/>
                      </a:ext>
                    </a:extLst>
                  </a:blip>
                  <a:stretch>
                    <a:fillRect/>
                  </a:stretch>
                </pic:blipFill>
                <pic:spPr>
                  <a:xfrm>
                    <a:off x="0" y="0"/>
                    <a:ext cx="2232025" cy="7912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636"/>
    <w:multiLevelType w:val="hybridMultilevel"/>
    <w:tmpl w:val="8E7821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2F76B72"/>
    <w:multiLevelType w:val="hybridMultilevel"/>
    <w:tmpl w:val="244E16BC"/>
    <w:lvl w:ilvl="0" w:tplc="0809000F">
      <w:start w:val="1"/>
      <w:numFmt w:val="decimal"/>
      <w:pStyle w:val="Heading1"/>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F3459"/>
    <w:multiLevelType w:val="hybridMultilevel"/>
    <w:tmpl w:val="03C03F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7C1374"/>
    <w:multiLevelType w:val="multilevel"/>
    <w:tmpl w:val="029EEA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color w:val="330072"/>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82118D"/>
    <w:multiLevelType w:val="hybridMultilevel"/>
    <w:tmpl w:val="8C32E7A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ABC5938"/>
    <w:multiLevelType w:val="hybridMultilevel"/>
    <w:tmpl w:val="1FE8669C"/>
    <w:lvl w:ilvl="0" w:tplc="831E9308">
      <w:start w:val="1"/>
      <w:numFmt w:val="decimal"/>
      <w:pStyle w:val="Heading2"/>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859670F"/>
    <w:multiLevelType w:val="multilevel"/>
    <w:tmpl w:val="5E38DF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Calibri" w:hAnsi="Calibri" w:cs="Calibri" w:hint="default"/>
        <w:b/>
        <w:color w:val="330072"/>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3A22D8"/>
    <w:multiLevelType w:val="hybridMultilevel"/>
    <w:tmpl w:val="FF74B5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D605864"/>
    <w:multiLevelType w:val="hybridMultilevel"/>
    <w:tmpl w:val="08E249BE"/>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9" w15:restartNumberingAfterBreak="0">
    <w:nsid w:val="43BA093B"/>
    <w:multiLevelType w:val="multilevel"/>
    <w:tmpl w:val="EA4CF57C"/>
    <w:lvl w:ilvl="0">
      <w:start w:val="1"/>
      <w:numFmt w:val="decimal"/>
      <w:lvlText w:val="%1."/>
      <w:lvlJc w:val="left"/>
      <w:pPr>
        <w:ind w:left="360" w:hanging="360"/>
      </w:pPr>
    </w:lvl>
    <w:lvl w:ilvl="1">
      <w:start w:val="1"/>
      <w:numFmt w:val="decimal"/>
      <w:lvlText w:val="%1.%2."/>
      <w:lvlJc w:val="left"/>
      <w:pPr>
        <w:ind w:left="792" w:hanging="432"/>
      </w:pPr>
      <w:rPr>
        <w:color w:val="365F91" w:themeColor="accent1" w:themeShade="BF"/>
      </w:rPr>
    </w:lvl>
    <w:lvl w:ilvl="2">
      <w:start w:val="1"/>
      <w:numFmt w:val="decimal"/>
      <w:lvlText w:val="%1.%2.%3."/>
      <w:lvlJc w:val="left"/>
      <w:pPr>
        <w:ind w:left="1639" w:hanging="504"/>
      </w:pPr>
      <w:rPr>
        <w:rFonts w:ascii="Calibri" w:hAnsi="Calibri" w:cs="Calibri" w:hint="default"/>
        <w:b/>
        <w:color w:val="330072"/>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8346C8"/>
    <w:multiLevelType w:val="hybridMultilevel"/>
    <w:tmpl w:val="4CEA0284"/>
    <w:lvl w:ilvl="0" w:tplc="1A1E6B1E">
      <w:start w:val="1"/>
      <w:numFmt w:val="bullet"/>
      <w:lvlText w:val=""/>
      <w:lvlJc w:val="left"/>
      <w:pPr>
        <w:ind w:left="1854" w:hanging="360"/>
      </w:pPr>
      <w:rPr>
        <w:rFonts w:ascii="Symbol" w:hAnsi="Symbol" w:hint="default"/>
        <w:b/>
        <w:i w:val="0"/>
        <w:color w:val="000000" w:themeColor="text1"/>
        <w:sz w:val="24"/>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6D1517B"/>
    <w:multiLevelType w:val="hybridMultilevel"/>
    <w:tmpl w:val="446A2488"/>
    <w:lvl w:ilvl="0" w:tplc="1A1E6B1E">
      <w:start w:val="1"/>
      <w:numFmt w:val="bullet"/>
      <w:lvlText w:val=""/>
      <w:lvlJc w:val="left"/>
      <w:pPr>
        <w:ind w:left="1077" w:hanging="360"/>
      </w:pPr>
      <w:rPr>
        <w:rFonts w:ascii="Symbol" w:hAnsi="Symbol" w:hint="default"/>
        <w:b/>
        <w:i w:val="0"/>
        <w:color w:val="000000" w:themeColor="text1"/>
        <w:sz w:val="24"/>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68E728C8"/>
    <w:multiLevelType w:val="multilevel"/>
    <w:tmpl w:val="2C3682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Calibri" w:hAnsi="Calibri" w:cs="Calibri" w:hint="default"/>
        <w:b/>
        <w:color w:val="365F91" w:themeColor="accent1" w:themeShade="BF"/>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9054C4"/>
    <w:multiLevelType w:val="hybridMultilevel"/>
    <w:tmpl w:val="5B261608"/>
    <w:lvl w:ilvl="0" w:tplc="1A1E6B1E">
      <w:start w:val="1"/>
      <w:numFmt w:val="bullet"/>
      <w:lvlText w:val=""/>
      <w:lvlJc w:val="left"/>
      <w:pPr>
        <w:ind w:left="1080" w:hanging="360"/>
      </w:pPr>
      <w:rPr>
        <w:rFonts w:ascii="Symbol" w:hAnsi="Symbol" w:hint="default"/>
        <w:b/>
        <w:i w:val="0"/>
        <w:color w:val="000000" w:themeColor="text1"/>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3373CA"/>
    <w:multiLevelType w:val="hybridMultilevel"/>
    <w:tmpl w:val="DCBCA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DC5413"/>
    <w:multiLevelType w:val="multilevel"/>
    <w:tmpl w:val="CE08AE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Calibri" w:hAnsi="Calibri" w:cs="Calibri" w:hint="default"/>
        <w:b/>
        <w:color w:val="365F91" w:themeColor="accent1" w:themeShade="BF"/>
        <w:sz w:val="24"/>
        <w:szCs w:val="24"/>
      </w:rPr>
    </w:lvl>
    <w:lvl w:ilvl="3">
      <w:start w:val="1"/>
      <w:numFmt w:val="decimal"/>
      <w:lvlText w:val="%1.%2.%3.%4."/>
      <w:lvlJc w:val="left"/>
      <w:pPr>
        <w:ind w:left="1925" w:hanging="648"/>
      </w:pPr>
      <w:rPr>
        <w:rFonts w:ascii="Calibri" w:hAnsi="Calibri" w:cs="Calibri" w:hint="default"/>
        <w:b/>
        <w:color w:val="330072"/>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E45836"/>
    <w:multiLevelType w:val="multilevel"/>
    <w:tmpl w:val="8FA2C9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color w:val="330072"/>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0672754">
    <w:abstractNumId w:val="15"/>
  </w:num>
  <w:num w:numId="2" w16cid:durableId="1324510842">
    <w:abstractNumId w:val="6"/>
  </w:num>
  <w:num w:numId="3" w16cid:durableId="1683776885">
    <w:abstractNumId w:val="3"/>
  </w:num>
  <w:num w:numId="4" w16cid:durableId="665669193">
    <w:abstractNumId w:val="1"/>
  </w:num>
  <w:num w:numId="5" w16cid:durableId="1841965808">
    <w:abstractNumId w:val="10"/>
  </w:num>
  <w:num w:numId="6" w16cid:durableId="1430155366">
    <w:abstractNumId w:val="13"/>
  </w:num>
  <w:num w:numId="7" w16cid:durableId="619652919">
    <w:abstractNumId w:val="11"/>
  </w:num>
  <w:num w:numId="8" w16cid:durableId="508494616">
    <w:abstractNumId w:val="9"/>
  </w:num>
  <w:num w:numId="9" w16cid:durableId="764420240">
    <w:abstractNumId w:val="5"/>
  </w:num>
  <w:num w:numId="10" w16cid:durableId="988904960">
    <w:abstractNumId w:val="12"/>
  </w:num>
  <w:num w:numId="11" w16cid:durableId="1408116884">
    <w:abstractNumId w:val="16"/>
  </w:num>
  <w:num w:numId="12" w16cid:durableId="1221092553">
    <w:abstractNumId w:val="1"/>
    <w:lvlOverride w:ilvl="0">
      <w:startOverride w:val="3"/>
    </w:lvlOverride>
  </w:num>
  <w:num w:numId="13" w16cid:durableId="244580433">
    <w:abstractNumId w:val="1"/>
    <w:lvlOverride w:ilvl="0">
      <w:startOverride w:val="7"/>
    </w:lvlOverride>
  </w:num>
  <w:num w:numId="14" w16cid:durableId="1953130114">
    <w:abstractNumId w:val="8"/>
  </w:num>
  <w:num w:numId="15" w16cid:durableId="152524947">
    <w:abstractNumId w:val="14"/>
  </w:num>
  <w:num w:numId="16" w16cid:durableId="809397047">
    <w:abstractNumId w:val="2"/>
  </w:num>
  <w:num w:numId="17" w16cid:durableId="111486821">
    <w:abstractNumId w:val="4"/>
  </w:num>
  <w:num w:numId="18" w16cid:durableId="88737356">
    <w:abstractNumId w:val="7"/>
  </w:num>
  <w:num w:numId="19" w16cid:durableId="73485679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769"/>
    <w:rsid w:val="000012F5"/>
    <w:rsid w:val="00003B80"/>
    <w:rsid w:val="0000441F"/>
    <w:rsid w:val="00004BBF"/>
    <w:rsid w:val="0000522C"/>
    <w:rsid w:val="000610EA"/>
    <w:rsid w:val="0006754C"/>
    <w:rsid w:val="000B7997"/>
    <w:rsid w:val="00102AFF"/>
    <w:rsid w:val="00113704"/>
    <w:rsid w:val="00125793"/>
    <w:rsid w:val="0013163B"/>
    <w:rsid w:val="00142082"/>
    <w:rsid w:val="00144891"/>
    <w:rsid w:val="0017533B"/>
    <w:rsid w:val="001857A7"/>
    <w:rsid w:val="0019347B"/>
    <w:rsid w:val="001C5511"/>
    <w:rsid w:val="001D1E63"/>
    <w:rsid w:val="001D3186"/>
    <w:rsid w:val="001F0065"/>
    <w:rsid w:val="001F6A4E"/>
    <w:rsid w:val="00235BC9"/>
    <w:rsid w:val="00245D65"/>
    <w:rsid w:val="00246E6F"/>
    <w:rsid w:val="00260190"/>
    <w:rsid w:val="003126EF"/>
    <w:rsid w:val="003445BE"/>
    <w:rsid w:val="00362A4A"/>
    <w:rsid w:val="00366856"/>
    <w:rsid w:val="0038596C"/>
    <w:rsid w:val="003B07C7"/>
    <w:rsid w:val="003C47CE"/>
    <w:rsid w:val="0040078D"/>
    <w:rsid w:val="0040165C"/>
    <w:rsid w:val="00432D88"/>
    <w:rsid w:val="0045199D"/>
    <w:rsid w:val="00460769"/>
    <w:rsid w:val="00462957"/>
    <w:rsid w:val="004901D8"/>
    <w:rsid w:val="004B39D7"/>
    <w:rsid w:val="004B6EE2"/>
    <w:rsid w:val="00511132"/>
    <w:rsid w:val="00512653"/>
    <w:rsid w:val="0052472A"/>
    <w:rsid w:val="00532541"/>
    <w:rsid w:val="00536BAE"/>
    <w:rsid w:val="00551F3C"/>
    <w:rsid w:val="00577CA0"/>
    <w:rsid w:val="005E487F"/>
    <w:rsid w:val="00646592"/>
    <w:rsid w:val="00663C74"/>
    <w:rsid w:val="006978FF"/>
    <w:rsid w:val="00697E5B"/>
    <w:rsid w:val="006B21AC"/>
    <w:rsid w:val="006F3BF8"/>
    <w:rsid w:val="007140DB"/>
    <w:rsid w:val="00720515"/>
    <w:rsid w:val="00724680"/>
    <w:rsid w:val="007461B1"/>
    <w:rsid w:val="00751D0E"/>
    <w:rsid w:val="00792479"/>
    <w:rsid w:val="00792BC7"/>
    <w:rsid w:val="00794CDC"/>
    <w:rsid w:val="007A2EFF"/>
    <w:rsid w:val="007C2C37"/>
    <w:rsid w:val="007C58C1"/>
    <w:rsid w:val="007C6A6E"/>
    <w:rsid w:val="007E3C45"/>
    <w:rsid w:val="007E55B1"/>
    <w:rsid w:val="007F7088"/>
    <w:rsid w:val="00856F72"/>
    <w:rsid w:val="00881D0B"/>
    <w:rsid w:val="00882A9C"/>
    <w:rsid w:val="008A5B26"/>
    <w:rsid w:val="008B0940"/>
    <w:rsid w:val="008D47EE"/>
    <w:rsid w:val="00924A4E"/>
    <w:rsid w:val="0093180F"/>
    <w:rsid w:val="009762CE"/>
    <w:rsid w:val="009F4525"/>
    <w:rsid w:val="00A03BC3"/>
    <w:rsid w:val="00A12625"/>
    <w:rsid w:val="00A24034"/>
    <w:rsid w:val="00A44BFA"/>
    <w:rsid w:val="00A91351"/>
    <w:rsid w:val="00AF2D0F"/>
    <w:rsid w:val="00B308E0"/>
    <w:rsid w:val="00B70818"/>
    <w:rsid w:val="00B742FE"/>
    <w:rsid w:val="00B82B89"/>
    <w:rsid w:val="00BA1FC5"/>
    <w:rsid w:val="00BA7873"/>
    <w:rsid w:val="00BC5D44"/>
    <w:rsid w:val="00BD60A6"/>
    <w:rsid w:val="00BF560A"/>
    <w:rsid w:val="00C062EE"/>
    <w:rsid w:val="00C15E69"/>
    <w:rsid w:val="00C338B5"/>
    <w:rsid w:val="00C71987"/>
    <w:rsid w:val="00C9379B"/>
    <w:rsid w:val="00C97B61"/>
    <w:rsid w:val="00CB2F57"/>
    <w:rsid w:val="00D20DF6"/>
    <w:rsid w:val="00D33726"/>
    <w:rsid w:val="00D436F3"/>
    <w:rsid w:val="00D52D3B"/>
    <w:rsid w:val="00D55167"/>
    <w:rsid w:val="00D95A15"/>
    <w:rsid w:val="00DA5611"/>
    <w:rsid w:val="00DB0798"/>
    <w:rsid w:val="00DB2D56"/>
    <w:rsid w:val="00DD13AF"/>
    <w:rsid w:val="00DE0A8B"/>
    <w:rsid w:val="00DE77CE"/>
    <w:rsid w:val="00DF14E0"/>
    <w:rsid w:val="00E1656A"/>
    <w:rsid w:val="00E311B6"/>
    <w:rsid w:val="00E77D45"/>
    <w:rsid w:val="00E81003"/>
    <w:rsid w:val="00E907B2"/>
    <w:rsid w:val="00EC3713"/>
    <w:rsid w:val="00ED682D"/>
    <w:rsid w:val="00EE2563"/>
    <w:rsid w:val="00EE311C"/>
    <w:rsid w:val="00F02B5E"/>
    <w:rsid w:val="00F22A18"/>
    <w:rsid w:val="00F24959"/>
    <w:rsid w:val="00F26F27"/>
    <w:rsid w:val="00F3095B"/>
    <w:rsid w:val="00F46330"/>
    <w:rsid w:val="00F56A79"/>
    <w:rsid w:val="00F62DDE"/>
    <w:rsid w:val="00F662F5"/>
    <w:rsid w:val="00F7288C"/>
    <w:rsid w:val="00F926B7"/>
    <w:rsid w:val="00FA5945"/>
    <w:rsid w:val="00FB5072"/>
    <w:rsid w:val="00FC7D0A"/>
    <w:rsid w:val="00FD7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A7C3F"/>
  <w15:docId w15:val="{72535F3B-7F01-4590-A50F-D2DA694F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726"/>
    <w:pPr>
      <w:keepNext/>
      <w:keepLines/>
      <w:numPr>
        <w:numId w:val="4"/>
      </w:numPr>
      <w:spacing w:before="240" w:after="120" w:line="240" w:lineRule="auto"/>
      <w:outlineLvl w:val="0"/>
    </w:pPr>
    <w:rPr>
      <w:rFonts w:ascii="Calibri" w:eastAsiaTheme="majorEastAsia" w:hAnsi="Calibri" w:cstheme="majorBidi"/>
      <w:b/>
      <w:bCs/>
      <w:color w:val="1C355E"/>
      <w:sz w:val="28"/>
      <w:szCs w:val="28"/>
    </w:rPr>
  </w:style>
  <w:style w:type="paragraph" w:styleId="Heading2">
    <w:name w:val="heading 2"/>
    <w:basedOn w:val="Normal"/>
    <w:next w:val="Normal"/>
    <w:link w:val="Heading2Char"/>
    <w:uiPriority w:val="9"/>
    <w:unhideWhenUsed/>
    <w:qFormat/>
    <w:rsid w:val="00D33726"/>
    <w:pPr>
      <w:keepNext/>
      <w:keepLines/>
      <w:numPr>
        <w:numId w:val="9"/>
      </w:numPr>
      <w:spacing w:before="240" w:after="120" w:line="240" w:lineRule="auto"/>
      <w:outlineLvl w:val="1"/>
    </w:pPr>
    <w:rPr>
      <w:rFonts w:ascii="Calibri" w:eastAsiaTheme="majorEastAsia" w:hAnsi="Calibri" w:cstheme="majorBidi"/>
      <w:b/>
      <w:bCs/>
      <w:color w:val="33007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769"/>
    <w:rPr>
      <w:rFonts w:ascii="Tahoma" w:hAnsi="Tahoma" w:cs="Tahoma"/>
      <w:sz w:val="16"/>
      <w:szCs w:val="16"/>
    </w:rPr>
  </w:style>
  <w:style w:type="paragraph" w:styleId="ListParagraph">
    <w:name w:val="List Paragraph"/>
    <w:basedOn w:val="Normal"/>
    <w:uiPriority w:val="34"/>
    <w:qFormat/>
    <w:rsid w:val="00C062EE"/>
    <w:pPr>
      <w:ind w:left="720"/>
      <w:contextualSpacing/>
    </w:pPr>
  </w:style>
  <w:style w:type="character" w:styleId="Hyperlink">
    <w:name w:val="Hyperlink"/>
    <w:basedOn w:val="DefaultParagraphFont"/>
    <w:uiPriority w:val="99"/>
    <w:unhideWhenUsed/>
    <w:rsid w:val="001C5511"/>
    <w:rPr>
      <w:color w:val="0000FF" w:themeColor="hyperlink"/>
      <w:u w:val="single"/>
    </w:rPr>
  </w:style>
  <w:style w:type="paragraph" w:styleId="Header">
    <w:name w:val="header"/>
    <w:basedOn w:val="Normal"/>
    <w:link w:val="HeaderChar"/>
    <w:uiPriority w:val="99"/>
    <w:unhideWhenUsed/>
    <w:rsid w:val="00312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6EF"/>
  </w:style>
  <w:style w:type="paragraph" w:styleId="Footer">
    <w:name w:val="footer"/>
    <w:basedOn w:val="Normal"/>
    <w:link w:val="FooterChar"/>
    <w:uiPriority w:val="99"/>
    <w:unhideWhenUsed/>
    <w:rsid w:val="00312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EF"/>
  </w:style>
  <w:style w:type="character" w:styleId="FollowedHyperlink">
    <w:name w:val="FollowedHyperlink"/>
    <w:basedOn w:val="DefaultParagraphFont"/>
    <w:uiPriority w:val="99"/>
    <w:semiHidden/>
    <w:unhideWhenUsed/>
    <w:rsid w:val="00246E6F"/>
    <w:rPr>
      <w:color w:val="800080" w:themeColor="followedHyperlink"/>
      <w:u w:val="single"/>
    </w:rPr>
  </w:style>
  <w:style w:type="paragraph" w:customStyle="1" w:styleId="NormalDark">
    <w:name w:val="Normal Dark"/>
    <w:basedOn w:val="Normal"/>
    <w:rsid w:val="00246E6F"/>
    <w:pPr>
      <w:spacing w:after="0" w:line="240" w:lineRule="auto"/>
    </w:pPr>
    <w:rPr>
      <w:rFonts w:ascii="Calibri" w:hAnsi="Calibri" w:cs="Calibri"/>
      <w:color w:val="262626"/>
      <w:sz w:val="24"/>
      <w:szCs w:val="24"/>
    </w:rPr>
  </w:style>
  <w:style w:type="paragraph" w:customStyle="1" w:styleId="NormalBody">
    <w:name w:val="Normal Body"/>
    <w:basedOn w:val="Normal"/>
    <w:rsid w:val="00246E6F"/>
    <w:pPr>
      <w:spacing w:after="0" w:line="240" w:lineRule="auto"/>
    </w:pPr>
    <w:rPr>
      <w:rFonts w:ascii="Calibri" w:hAnsi="Calibri" w:cs="Calibri"/>
      <w:color w:val="606362"/>
      <w:sz w:val="24"/>
      <w:szCs w:val="24"/>
    </w:rPr>
  </w:style>
  <w:style w:type="paragraph" w:styleId="NormalWeb">
    <w:name w:val="Normal (Web)"/>
    <w:basedOn w:val="Normal"/>
    <w:uiPriority w:val="99"/>
    <w:semiHidden/>
    <w:unhideWhenUsed/>
    <w:rsid w:val="00245D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33726"/>
    <w:rPr>
      <w:rFonts w:ascii="Calibri" w:eastAsiaTheme="majorEastAsia" w:hAnsi="Calibri" w:cstheme="majorBidi"/>
      <w:b/>
      <w:bCs/>
      <w:color w:val="1C355E"/>
      <w:sz w:val="28"/>
      <w:szCs w:val="28"/>
    </w:rPr>
  </w:style>
  <w:style w:type="paragraph" w:styleId="TOCHeading">
    <w:name w:val="TOC Heading"/>
    <w:basedOn w:val="Heading1"/>
    <w:next w:val="Normal"/>
    <w:uiPriority w:val="39"/>
    <w:semiHidden/>
    <w:unhideWhenUsed/>
    <w:qFormat/>
    <w:rsid w:val="00512653"/>
    <w:pPr>
      <w:tabs>
        <w:tab w:val="left" w:leader="dot" w:pos="8789"/>
      </w:tabs>
      <w:spacing w:before="0" w:after="0" w:line="480" w:lineRule="auto"/>
      <w:ind w:left="0" w:firstLine="0"/>
      <w:outlineLvl w:val="9"/>
    </w:pPr>
    <w:rPr>
      <w:color w:val="auto"/>
      <w:lang w:val="en-US" w:eastAsia="ja-JP"/>
    </w:rPr>
  </w:style>
  <w:style w:type="character" w:customStyle="1" w:styleId="Heading2Char">
    <w:name w:val="Heading 2 Char"/>
    <w:basedOn w:val="DefaultParagraphFont"/>
    <w:link w:val="Heading2"/>
    <w:uiPriority w:val="9"/>
    <w:rsid w:val="00D33726"/>
    <w:rPr>
      <w:rFonts w:ascii="Calibri" w:eastAsiaTheme="majorEastAsia" w:hAnsi="Calibri" w:cstheme="majorBidi"/>
      <w:b/>
      <w:bCs/>
      <w:color w:val="330072"/>
      <w:sz w:val="24"/>
      <w:szCs w:val="26"/>
    </w:rPr>
  </w:style>
  <w:style w:type="paragraph" w:styleId="TOC1">
    <w:name w:val="toc 1"/>
    <w:basedOn w:val="Normal"/>
    <w:next w:val="Normal"/>
    <w:autoRedefine/>
    <w:uiPriority w:val="39"/>
    <w:unhideWhenUsed/>
    <w:rsid w:val="00512653"/>
    <w:pPr>
      <w:spacing w:after="100"/>
    </w:pPr>
  </w:style>
  <w:style w:type="paragraph" w:styleId="TOC2">
    <w:name w:val="toc 2"/>
    <w:basedOn w:val="Normal"/>
    <w:next w:val="Normal"/>
    <w:autoRedefine/>
    <w:uiPriority w:val="39"/>
    <w:unhideWhenUsed/>
    <w:rsid w:val="00512653"/>
    <w:pPr>
      <w:spacing w:after="100"/>
      <w:ind w:left="220"/>
    </w:pPr>
  </w:style>
  <w:style w:type="character" w:customStyle="1" w:styleId="UnresolvedMention1">
    <w:name w:val="Unresolved Mention1"/>
    <w:basedOn w:val="DefaultParagraphFont"/>
    <w:uiPriority w:val="99"/>
    <w:semiHidden/>
    <w:unhideWhenUsed/>
    <w:rsid w:val="0000441F"/>
    <w:rPr>
      <w:color w:val="605E5C"/>
      <w:shd w:val="clear" w:color="auto" w:fill="E1DFDD"/>
    </w:rPr>
  </w:style>
  <w:style w:type="character" w:styleId="CommentReference">
    <w:name w:val="annotation reference"/>
    <w:basedOn w:val="DefaultParagraphFont"/>
    <w:uiPriority w:val="99"/>
    <w:semiHidden/>
    <w:unhideWhenUsed/>
    <w:rsid w:val="00D20DF6"/>
    <w:rPr>
      <w:sz w:val="16"/>
      <w:szCs w:val="16"/>
    </w:rPr>
  </w:style>
  <w:style w:type="paragraph" w:styleId="CommentText">
    <w:name w:val="annotation text"/>
    <w:basedOn w:val="Normal"/>
    <w:link w:val="CommentTextChar"/>
    <w:uiPriority w:val="99"/>
    <w:unhideWhenUsed/>
    <w:rsid w:val="00D20DF6"/>
    <w:pPr>
      <w:spacing w:line="240" w:lineRule="auto"/>
    </w:pPr>
    <w:rPr>
      <w:sz w:val="20"/>
      <w:szCs w:val="20"/>
    </w:rPr>
  </w:style>
  <w:style w:type="character" w:customStyle="1" w:styleId="CommentTextChar">
    <w:name w:val="Comment Text Char"/>
    <w:basedOn w:val="DefaultParagraphFont"/>
    <w:link w:val="CommentText"/>
    <w:uiPriority w:val="99"/>
    <w:rsid w:val="00D20DF6"/>
    <w:rPr>
      <w:sz w:val="20"/>
      <w:szCs w:val="20"/>
    </w:rPr>
  </w:style>
  <w:style w:type="paragraph" w:styleId="CommentSubject">
    <w:name w:val="annotation subject"/>
    <w:basedOn w:val="CommentText"/>
    <w:next w:val="CommentText"/>
    <w:link w:val="CommentSubjectChar"/>
    <w:uiPriority w:val="99"/>
    <w:semiHidden/>
    <w:unhideWhenUsed/>
    <w:rsid w:val="00D20DF6"/>
    <w:rPr>
      <w:b/>
      <w:bCs/>
    </w:rPr>
  </w:style>
  <w:style w:type="character" w:customStyle="1" w:styleId="CommentSubjectChar">
    <w:name w:val="Comment Subject Char"/>
    <w:basedOn w:val="CommentTextChar"/>
    <w:link w:val="CommentSubject"/>
    <w:uiPriority w:val="99"/>
    <w:semiHidden/>
    <w:rsid w:val="00D20DF6"/>
    <w:rPr>
      <w:b/>
      <w:bCs/>
      <w:sz w:val="20"/>
      <w:szCs w:val="20"/>
    </w:rPr>
  </w:style>
  <w:style w:type="paragraph" w:styleId="Revision">
    <w:name w:val="Revision"/>
    <w:hidden/>
    <w:uiPriority w:val="99"/>
    <w:semiHidden/>
    <w:rsid w:val="00F662F5"/>
    <w:pPr>
      <w:spacing w:after="0" w:line="240" w:lineRule="auto"/>
    </w:pPr>
  </w:style>
  <w:style w:type="character" w:customStyle="1" w:styleId="UnresolvedMention2">
    <w:name w:val="Unresolved Mention2"/>
    <w:basedOn w:val="DefaultParagraphFont"/>
    <w:uiPriority w:val="99"/>
    <w:semiHidden/>
    <w:unhideWhenUsed/>
    <w:rsid w:val="00F66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83962">
      <w:bodyDiv w:val="1"/>
      <w:marLeft w:val="0"/>
      <w:marRight w:val="0"/>
      <w:marTop w:val="0"/>
      <w:marBottom w:val="0"/>
      <w:divBdr>
        <w:top w:val="none" w:sz="0" w:space="0" w:color="auto"/>
        <w:left w:val="none" w:sz="0" w:space="0" w:color="auto"/>
        <w:bottom w:val="none" w:sz="0" w:space="0" w:color="auto"/>
        <w:right w:val="none" w:sz="0" w:space="0" w:color="auto"/>
      </w:divBdr>
      <w:divsChild>
        <w:div w:id="1206062310">
          <w:marLeft w:val="274"/>
          <w:marRight w:val="0"/>
          <w:marTop w:val="240"/>
          <w:marBottom w:val="0"/>
          <w:divBdr>
            <w:top w:val="none" w:sz="0" w:space="0" w:color="auto"/>
            <w:left w:val="none" w:sz="0" w:space="0" w:color="auto"/>
            <w:bottom w:val="none" w:sz="0" w:space="0" w:color="auto"/>
            <w:right w:val="none" w:sz="0" w:space="0" w:color="auto"/>
          </w:divBdr>
        </w:div>
        <w:div w:id="1524171383">
          <w:marLeft w:val="274"/>
          <w:marRight w:val="0"/>
          <w:marTop w:val="240"/>
          <w:marBottom w:val="0"/>
          <w:divBdr>
            <w:top w:val="none" w:sz="0" w:space="0" w:color="auto"/>
            <w:left w:val="none" w:sz="0" w:space="0" w:color="auto"/>
            <w:bottom w:val="none" w:sz="0" w:space="0" w:color="auto"/>
            <w:right w:val="none" w:sz="0" w:space="0" w:color="auto"/>
          </w:divBdr>
        </w:div>
        <w:div w:id="529030403">
          <w:marLeft w:val="274"/>
          <w:marRight w:val="0"/>
          <w:marTop w:val="240"/>
          <w:marBottom w:val="0"/>
          <w:divBdr>
            <w:top w:val="none" w:sz="0" w:space="0" w:color="auto"/>
            <w:left w:val="none" w:sz="0" w:space="0" w:color="auto"/>
            <w:bottom w:val="none" w:sz="0" w:space="0" w:color="auto"/>
            <w:right w:val="none" w:sz="0" w:space="0" w:color="auto"/>
          </w:divBdr>
        </w:div>
        <w:div w:id="1014695512">
          <w:marLeft w:val="274"/>
          <w:marRight w:val="0"/>
          <w:marTop w:val="240"/>
          <w:marBottom w:val="0"/>
          <w:divBdr>
            <w:top w:val="none" w:sz="0" w:space="0" w:color="auto"/>
            <w:left w:val="none" w:sz="0" w:space="0" w:color="auto"/>
            <w:bottom w:val="none" w:sz="0" w:space="0" w:color="auto"/>
            <w:right w:val="none" w:sz="0" w:space="0" w:color="auto"/>
          </w:divBdr>
        </w:div>
        <w:div w:id="1579553103">
          <w:marLeft w:val="274"/>
          <w:marRight w:val="0"/>
          <w:marTop w:val="240"/>
          <w:marBottom w:val="0"/>
          <w:divBdr>
            <w:top w:val="none" w:sz="0" w:space="0" w:color="auto"/>
            <w:left w:val="none" w:sz="0" w:space="0" w:color="auto"/>
            <w:bottom w:val="none" w:sz="0" w:space="0" w:color="auto"/>
            <w:right w:val="none" w:sz="0" w:space="0" w:color="auto"/>
          </w:divBdr>
        </w:div>
        <w:div w:id="369499795">
          <w:marLeft w:val="274"/>
          <w:marRight w:val="0"/>
          <w:marTop w:val="240"/>
          <w:marBottom w:val="0"/>
          <w:divBdr>
            <w:top w:val="none" w:sz="0" w:space="0" w:color="auto"/>
            <w:left w:val="none" w:sz="0" w:space="0" w:color="auto"/>
            <w:bottom w:val="none" w:sz="0" w:space="0" w:color="auto"/>
            <w:right w:val="none" w:sz="0" w:space="0" w:color="auto"/>
          </w:divBdr>
        </w:div>
        <w:div w:id="577709323">
          <w:marLeft w:val="274"/>
          <w:marRight w:val="0"/>
          <w:marTop w:val="240"/>
          <w:marBottom w:val="0"/>
          <w:divBdr>
            <w:top w:val="none" w:sz="0" w:space="0" w:color="auto"/>
            <w:left w:val="none" w:sz="0" w:space="0" w:color="auto"/>
            <w:bottom w:val="none" w:sz="0" w:space="0" w:color="auto"/>
            <w:right w:val="none" w:sz="0" w:space="0" w:color="auto"/>
          </w:divBdr>
        </w:div>
      </w:divsChild>
    </w:div>
    <w:div w:id="1447574920">
      <w:bodyDiv w:val="1"/>
      <w:marLeft w:val="0"/>
      <w:marRight w:val="0"/>
      <w:marTop w:val="0"/>
      <w:marBottom w:val="0"/>
      <w:divBdr>
        <w:top w:val="none" w:sz="0" w:space="0" w:color="auto"/>
        <w:left w:val="none" w:sz="0" w:space="0" w:color="auto"/>
        <w:bottom w:val="none" w:sz="0" w:space="0" w:color="auto"/>
        <w:right w:val="none" w:sz="0" w:space="0" w:color="auto"/>
      </w:divBdr>
      <w:divsChild>
        <w:div w:id="2058625889">
          <w:marLeft w:val="0"/>
          <w:marRight w:val="0"/>
          <w:marTop w:val="0"/>
          <w:marBottom w:val="0"/>
          <w:divBdr>
            <w:top w:val="none" w:sz="0" w:space="0" w:color="auto"/>
            <w:left w:val="none" w:sz="0" w:space="0" w:color="auto"/>
            <w:bottom w:val="none" w:sz="0" w:space="0" w:color="auto"/>
            <w:right w:val="none" w:sz="0" w:space="0" w:color="auto"/>
          </w:divBdr>
          <w:divsChild>
            <w:div w:id="923605631">
              <w:marLeft w:val="0"/>
              <w:marRight w:val="0"/>
              <w:marTop w:val="0"/>
              <w:marBottom w:val="0"/>
              <w:divBdr>
                <w:top w:val="none" w:sz="0" w:space="0" w:color="auto"/>
                <w:left w:val="none" w:sz="0" w:space="0" w:color="auto"/>
                <w:bottom w:val="none" w:sz="0" w:space="0" w:color="auto"/>
                <w:right w:val="none" w:sz="0" w:space="0" w:color="auto"/>
              </w:divBdr>
              <w:divsChild>
                <w:div w:id="1278949695">
                  <w:marLeft w:val="0"/>
                  <w:marRight w:val="0"/>
                  <w:marTop w:val="0"/>
                  <w:marBottom w:val="0"/>
                  <w:divBdr>
                    <w:top w:val="none" w:sz="0" w:space="0" w:color="auto"/>
                    <w:left w:val="none" w:sz="0" w:space="0" w:color="auto"/>
                    <w:bottom w:val="none" w:sz="0" w:space="0" w:color="auto"/>
                    <w:right w:val="none" w:sz="0" w:space="0" w:color="auto"/>
                  </w:divBdr>
                  <w:divsChild>
                    <w:div w:id="333261845">
                      <w:marLeft w:val="0"/>
                      <w:marRight w:val="0"/>
                      <w:marTop w:val="0"/>
                      <w:marBottom w:val="0"/>
                      <w:divBdr>
                        <w:top w:val="none" w:sz="0" w:space="0" w:color="auto"/>
                        <w:left w:val="none" w:sz="0" w:space="0" w:color="auto"/>
                        <w:bottom w:val="none" w:sz="0" w:space="0" w:color="auto"/>
                        <w:right w:val="none" w:sz="0" w:space="0" w:color="auto"/>
                      </w:divBdr>
                      <w:divsChild>
                        <w:div w:id="2066177471">
                          <w:marLeft w:val="0"/>
                          <w:marRight w:val="0"/>
                          <w:marTop w:val="0"/>
                          <w:marBottom w:val="0"/>
                          <w:divBdr>
                            <w:top w:val="none" w:sz="0" w:space="0" w:color="auto"/>
                            <w:left w:val="none" w:sz="0" w:space="0" w:color="auto"/>
                            <w:bottom w:val="none" w:sz="0" w:space="0" w:color="auto"/>
                            <w:right w:val="none" w:sz="0" w:space="0" w:color="auto"/>
                          </w:divBdr>
                        </w:div>
                      </w:divsChild>
                    </w:div>
                    <w:div w:id="553271623">
                      <w:marLeft w:val="0"/>
                      <w:marRight w:val="0"/>
                      <w:marTop w:val="0"/>
                      <w:marBottom w:val="0"/>
                      <w:divBdr>
                        <w:top w:val="none" w:sz="0" w:space="0" w:color="auto"/>
                        <w:left w:val="none" w:sz="0" w:space="0" w:color="auto"/>
                        <w:bottom w:val="none" w:sz="0" w:space="0" w:color="auto"/>
                        <w:right w:val="none" w:sz="0" w:space="0" w:color="auto"/>
                      </w:divBdr>
                      <w:divsChild>
                        <w:div w:id="11944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93983">
      <w:bodyDiv w:val="1"/>
      <w:marLeft w:val="0"/>
      <w:marRight w:val="0"/>
      <w:marTop w:val="0"/>
      <w:marBottom w:val="0"/>
      <w:divBdr>
        <w:top w:val="none" w:sz="0" w:space="0" w:color="auto"/>
        <w:left w:val="none" w:sz="0" w:space="0" w:color="auto"/>
        <w:bottom w:val="none" w:sz="0" w:space="0" w:color="auto"/>
        <w:right w:val="none" w:sz="0" w:space="0" w:color="auto"/>
      </w:divBdr>
    </w:div>
    <w:div w:id="1940720101">
      <w:bodyDiv w:val="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595166068">
              <w:marLeft w:val="0"/>
              <w:marRight w:val="0"/>
              <w:marTop w:val="0"/>
              <w:marBottom w:val="0"/>
              <w:divBdr>
                <w:top w:val="none" w:sz="0" w:space="0" w:color="auto"/>
                <w:left w:val="none" w:sz="0" w:space="0" w:color="auto"/>
                <w:bottom w:val="none" w:sz="0" w:space="0" w:color="auto"/>
                <w:right w:val="none" w:sz="0" w:space="0" w:color="auto"/>
              </w:divBdr>
              <w:divsChild>
                <w:div w:id="65733478">
                  <w:marLeft w:val="0"/>
                  <w:marRight w:val="0"/>
                  <w:marTop w:val="0"/>
                  <w:marBottom w:val="0"/>
                  <w:divBdr>
                    <w:top w:val="none" w:sz="0" w:space="0" w:color="auto"/>
                    <w:left w:val="none" w:sz="0" w:space="0" w:color="auto"/>
                    <w:bottom w:val="none" w:sz="0" w:space="0" w:color="auto"/>
                    <w:right w:val="none" w:sz="0" w:space="0" w:color="auto"/>
                  </w:divBdr>
                  <w:divsChild>
                    <w:div w:id="1348018956">
                      <w:marLeft w:val="0"/>
                      <w:marRight w:val="0"/>
                      <w:marTop w:val="0"/>
                      <w:marBottom w:val="0"/>
                      <w:divBdr>
                        <w:top w:val="none" w:sz="0" w:space="0" w:color="auto"/>
                        <w:left w:val="none" w:sz="0" w:space="0" w:color="auto"/>
                        <w:bottom w:val="none" w:sz="0" w:space="0" w:color="auto"/>
                        <w:right w:val="none" w:sz="0" w:space="0" w:color="auto"/>
                      </w:divBdr>
                      <w:divsChild>
                        <w:div w:id="18313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88351">
      <w:bodyDiv w:val="1"/>
      <w:marLeft w:val="0"/>
      <w:marRight w:val="0"/>
      <w:marTop w:val="0"/>
      <w:marBottom w:val="0"/>
      <w:divBdr>
        <w:top w:val="none" w:sz="0" w:space="0" w:color="auto"/>
        <w:left w:val="none" w:sz="0" w:space="0" w:color="auto"/>
        <w:bottom w:val="none" w:sz="0" w:space="0" w:color="auto"/>
        <w:right w:val="none" w:sz="0" w:space="0" w:color="auto"/>
      </w:divBdr>
      <w:divsChild>
        <w:div w:id="1613509971">
          <w:marLeft w:val="274"/>
          <w:marRight w:val="0"/>
          <w:marTop w:val="240"/>
          <w:marBottom w:val="0"/>
          <w:divBdr>
            <w:top w:val="none" w:sz="0" w:space="0" w:color="auto"/>
            <w:left w:val="none" w:sz="0" w:space="0" w:color="auto"/>
            <w:bottom w:val="none" w:sz="0" w:space="0" w:color="auto"/>
            <w:right w:val="none" w:sz="0" w:space="0" w:color="auto"/>
          </w:divBdr>
        </w:div>
        <w:div w:id="1759448184">
          <w:marLeft w:val="1138"/>
          <w:marRight w:val="0"/>
          <w:marTop w:val="240"/>
          <w:marBottom w:val="0"/>
          <w:divBdr>
            <w:top w:val="none" w:sz="0" w:space="0" w:color="auto"/>
            <w:left w:val="none" w:sz="0" w:space="0" w:color="auto"/>
            <w:bottom w:val="none" w:sz="0" w:space="0" w:color="auto"/>
            <w:right w:val="none" w:sz="0" w:space="0" w:color="auto"/>
          </w:divBdr>
        </w:div>
        <w:div w:id="1984655525">
          <w:marLeft w:val="274"/>
          <w:marRight w:val="0"/>
          <w:marTop w:val="240"/>
          <w:marBottom w:val="0"/>
          <w:divBdr>
            <w:top w:val="none" w:sz="0" w:space="0" w:color="auto"/>
            <w:left w:val="none" w:sz="0" w:space="0" w:color="auto"/>
            <w:bottom w:val="none" w:sz="0" w:space="0" w:color="auto"/>
            <w:right w:val="none" w:sz="0" w:space="0" w:color="auto"/>
          </w:divBdr>
        </w:div>
        <w:div w:id="1849248739">
          <w:marLeft w:val="1138"/>
          <w:marRight w:val="0"/>
          <w:marTop w:val="240"/>
          <w:marBottom w:val="160"/>
          <w:divBdr>
            <w:top w:val="none" w:sz="0" w:space="0" w:color="auto"/>
            <w:left w:val="none" w:sz="0" w:space="0" w:color="auto"/>
            <w:bottom w:val="none" w:sz="0" w:space="0" w:color="auto"/>
            <w:right w:val="none" w:sz="0" w:space="0" w:color="auto"/>
          </w:divBdr>
        </w:div>
        <w:div w:id="396902790">
          <w:marLeft w:val="274"/>
          <w:marRight w:val="0"/>
          <w:marTop w:val="240"/>
          <w:marBottom w:val="0"/>
          <w:divBdr>
            <w:top w:val="none" w:sz="0" w:space="0" w:color="auto"/>
            <w:left w:val="none" w:sz="0" w:space="0" w:color="auto"/>
            <w:bottom w:val="none" w:sz="0" w:space="0" w:color="auto"/>
            <w:right w:val="none" w:sz="0" w:space="0" w:color="auto"/>
          </w:divBdr>
        </w:div>
        <w:div w:id="1077357641">
          <w:marLeft w:val="1138"/>
          <w:marRight w:val="0"/>
          <w:marTop w:val="24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13" Type="http://schemas.openxmlformats.org/officeDocument/2006/relationships/hyperlink" Target="https://digital.nhs.uk/data-and-information/information-standards/information-standards-and-data-collections-including-extractions/publications-and-notifications/standards-and-collections/dcb3058-compliance-with-national-data-opt-outs" TargetMode="External"/><Relationship Id="rId18" Type="http://schemas.openxmlformats.org/officeDocument/2006/relationships/package" Target="embeddings/Microsoft_Excel_Worksheet.xlsx"/><Relationship Id="rId26" Type="http://schemas.openxmlformats.org/officeDocument/2006/relationships/hyperlink" Target="https://digital.nhs.uk/services/data-access-request-service-dars/how-the-national-data-opt-out-affects-data-released-by-nhs-digital/national-data-opt-out-guidance-for-researchers/4-section-251-and-the-application-of-national-data-opt-outs" TargetMode="Externa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image" Target="media/image1.emf"/><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p-ig.scwcsu.nhs.uk/guidance/data-sharing/data-flow" TargetMode="External"/><Relationship Id="rId20" Type="http://schemas.openxmlformats.org/officeDocument/2006/relationships/package" Target="embeddings/Microsoft_Word_Document.docx"/><Relationship Id="rId29" Type="http://schemas.openxmlformats.org/officeDocument/2006/relationships/hyperlink" Target="https://digital.nhs.uk/services/national-data-opt-out/compliance-with-the-national-data-opt-out/compliance-implementation-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national-data-opt-out/compliance-with-the-national-data-opt-out/check-for-national-data-opt-outs-service" TargetMode="External"/><Relationship Id="rId24" Type="http://schemas.openxmlformats.org/officeDocument/2006/relationships/hyperlink" Target="https://digital.nhs.uk/services/summary-care-records-scr/summary-care-records-scr-information-for-patient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gital.nhs.uk/services/national-data-opt-out/information-for-gp-practices" TargetMode="External"/><Relationship Id="rId23" Type="http://schemas.openxmlformats.org/officeDocument/2006/relationships/hyperlink" Target="mailto:enquiries@nhsdigital.nhs.uk" TargetMode="External"/><Relationship Id="rId28" Type="http://schemas.openxmlformats.org/officeDocument/2006/relationships/image" Target="media/image5.png"/><Relationship Id="rId10" Type="http://schemas.openxmlformats.org/officeDocument/2006/relationships/hyperlink" Target="https://digital.nhs.uk/services/national-data-opt-out/operational-policy-guidance-document" TargetMode="External"/><Relationship Id="rId19" Type="http://schemas.openxmlformats.org/officeDocument/2006/relationships/image" Target="media/image2.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learning-disabilities/care/atd/" TargetMode="External"/><Relationship Id="rId14" Type="http://schemas.openxmlformats.org/officeDocument/2006/relationships/hyperlink" Target="https://dsptoolkit.nhs.uk/" TargetMode="External"/><Relationship Id="rId22" Type="http://schemas.openxmlformats.org/officeDocument/2006/relationships/package" Target="embeddings/Microsoft_Word_Document1.docx"/><Relationship Id="rId27" Type="http://schemas.openxmlformats.org/officeDocument/2006/relationships/hyperlink" Target="https://www.gov.uk/government/uploads/system/uploads/attachment_data/file/192572/2900774_InfoGovernance_accv2.pdf" TargetMode="External"/><Relationship Id="rId30" Type="http://schemas.openxmlformats.org/officeDocument/2006/relationships/hyperlink" Target="https://digital.nhs.uk/services/national-data-opt-out/information-for-gp-pract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08E19-E569-44E1-AE7A-E7518474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Nation data opt out guidance</vt:lpstr>
    </vt:vector>
  </TitlesOfParts>
  <Company>Microsoft</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 data opt out guidance</dc:title>
  <dc:creator>NHS SCW</dc:creator>
  <cp:keywords>Developed by NHS SCW CSU</cp:keywords>
  <cp:lastModifiedBy>GREENWAY, Richard (THREE SHIRES MEDICAL PRACTICE)</cp:lastModifiedBy>
  <cp:revision>1</cp:revision>
  <cp:lastPrinted>2019-12-04T12:47:00Z</cp:lastPrinted>
  <dcterms:created xsi:type="dcterms:W3CDTF">2025-06-09T14:27:00Z</dcterms:created>
  <dcterms:modified xsi:type="dcterms:W3CDTF">2025-06-09T14:27:00Z</dcterms:modified>
</cp:coreProperties>
</file>